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CD3528" w:rsidRPr="00CD3528">
        <w:rPr>
          <w:rFonts w:ascii="Arial" w:hAnsi="Arial" w:cs="Arial"/>
          <w:b/>
          <w:bCs/>
          <w:sz w:val="28"/>
        </w:rPr>
        <w:t>R1-</w:t>
      </w:r>
      <w:r w:rsidR="00922F69" w:rsidRPr="00CD3528">
        <w:rPr>
          <w:rFonts w:ascii="Arial" w:hAnsi="Arial" w:cs="Arial"/>
          <w:b/>
          <w:bCs/>
          <w:sz w:val="28"/>
        </w:rPr>
        <w:t>190</w:t>
      </w:r>
      <w:r w:rsidR="00922F69">
        <w:rPr>
          <w:rFonts w:ascii="Arial" w:hAnsi="Arial" w:cs="Arial"/>
          <w:b/>
          <w:bCs/>
          <w:sz w:val="28"/>
        </w:rPr>
        <w:t>2200</w:t>
      </w:r>
    </w:p>
    <w:p w:rsidR="002F3F7F" w:rsidRDefault="00CD3528"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Athens</w:t>
      </w:r>
      <w:r w:rsidR="002F3F7F" w:rsidRPr="002F3F7F">
        <w:rPr>
          <w:rFonts w:ascii="Arial" w:eastAsia="MS Mincho" w:hAnsi="Arial" w:cs="Arial"/>
          <w:b/>
          <w:bCs/>
          <w:sz w:val="28"/>
          <w:szCs w:val="24"/>
          <w:lang w:eastAsia="ja-JP"/>
        </w:rPr>
        <w:t>,</w:t>
      </w:r>
      <w:r>
        <w:rPr>
          <w:rFonts w:ascii="Arial" w:eastAsia="MS Mincho" w:hAnsi="Arial" w:cs="Arial"/>
          <w:b/>
          <w:bCs/>
          <w:sz w:val="28"/>
          <w:szCs w:val="24"/>
          <w:lang w:eastAsia="ja-JP"/>
        </w:rPr>
        <w:t xml:space="preserve"> Greece,</w:t>
      </w:r>
      <w:r w:rsidR="002F3F7F" w:rsidRPr="002F3F7F">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February – 1</w:t>
      </w:r>
      <w:r w:rsidRPr="00CD3528">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March</w:t>
      </w:r>
      <w:r w:rsidR="002F3F7F" w:rsidRPr="002F3F7F">
        <w:rPr>
          <w:rFonts w:ascii="Arial" w:eastAsia="MS Mincho" w:hAnsi="Arial" w:cs="Arial"/>
          <w:b/>
          <w:bCs/>
          <w:sz w:val="28"/>
          <w:szCs w:val="24"/>
          <w:lang w:eastAsia="ja-JP"/>
        </w:rPr>
        <w:t>,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922F69" w:rsidRPr="00922F69">
        <w:rPr>
          <w:sz w:val="28"/>
          <w:szCs w:val="28"/>
          <w:lang w:eastAsia="zh-TW"/>
        </w:rPr>
        <w:t>Discussion on FD component selection and coefficient subset selection</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w:t>
      </w:r>
      <w:r w:rsidR="00922F69">
        <w:rPr>
          <w:sz w:val="28"/>
          <w:szCs w:val="28"/>
          <w:lang w:eastAsia="zh-TW"/>
        </w:rPr>
        <w:t>6</w:t>
      </w:r>
    </w:p>
    <w:p w:rsidR="002651FC" w:rsidRPr="008B6F9C" w:rsidRDefault="002D1FB0" w:rsidP="008B6F9C">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D1FB0" w:rsidRDefault="002D1FB0" w:rsidP="002D1FB0">
      <w:pPr>
        <w:pStyle w:val="Heading1"/>
      </w:pPr>
      <w:bookmarkStart w:id="2" w:name="_Toc1144399"/>
      <w:r>
        <w:rPr>
          <w:rFonts w:hint="eastAsia"/>
        </w:rPr>
        <w:t>Introduction</w:t>
      </w:r>
      <w:bookmarkEnd w:id="2"/>
    </w:p>
    <w:p w:rsidR="00CA397B" w:rsidRDefault="00CA397B" w:rsidP="00CA397B">
      <w:pPr>
        <w:rPr>
          <w:lang w:eastAsia="zh-TW"/>
        </w:rPr>
      </w:pPr>
      <w:r>
        <w:rPr>
          <w:lang w:eastAsia="zh-TW"/>
        </w:rPr>
        <w:t>At RAN1 #95, a number of agreements were reached:</w:t>
      </w:r>
    </w:p>
    <w:p w:rsidR="00CA397B" w:rsidRPr="005C7EF7" w:rsidRDefault="00CA397B" w:rsidP="00CA397B">
      <w:pPr>
        <w:jc w:val="both"/>
        <w:rPr>
          <w:szCs w:val="28"/>
          <w:highlight w:val="green"/>
        </w:rPr>
      </w:pPr>
      <w:r w:rsidRPr="005C7EF7">
        <w:rPr>
          <w:b/>
          <w:szCs w:val="28"/>
          <w:highlight w:val="green"/>
        </w:rPr>
        <w:t>Agreement</w:t>
      </w:r>
      <w:r w:rsidRPr="005C7EF7">
        <w:rPr>
          <w:szCs w:val="28"/>
          <w:highlight w:val="green"/>
        </w:rPr>
        <w:t xml:space="preserve">: </w:t>
      </w:r>
    </w:p>
    <w:p w:rsidR="00CA397B" w:rsidRPr="003B7873" w:rsidRDefault="00CA397B" w:rsidP="00CA397B">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9pt" o:ole="">
            <v:imagedata r:id="rId8" o:title=""/>
          </v:shape>
          <o:OLEObject Type="Embed" ProgID="Equation.DSMT4" ShapeID="_x0000_i1025" DrawAspect="Content" ObjectID="_1611764084" r:id="rId9"/>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CA397B" w:rsidRPr="003B7873" w:rsidRDefault="00CA397B" w:rsidP="00CA397B">
      <w:pPr>
        <w:pStyle w:val="ListParagraph"/>
        <w:numPr>
          <w:ilvl w:val="0"/>
          <w:numId w:val="19"/>
        </w:numPr>
        <w:spacing w:after="0"/>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6" type="#_x0000_t75" style="width:18.35pt;height:19pt" o:ole="">
            <v:imagedata r:id="rId8" o:title=""/>
          </v:shape>
          <o:OLEObject Type="Embed" ProgID="Equation.DSMT4" ShapeID="_x0000_i1026" DrawAspect="Content" ObjectID="_1611764085" r:id="rId10"/>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rsidR="00CA397B" w:rsidRPr="003B7873" w:rsidRDefault="00CA397B" w:rsidP="00CA397B">
      <w:pPr>
        <w:pStyle w:val="ListParagraph"/>
        <w:numPr>
          <w:ilvl w:val="0"/>
          <w:numId w:val="19"/>
        </w:numPr>
        <w:spacing w:after="0"/>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7" type="#_x0000_t75" style="width:18.35pt;height:19pt" o:ole="">
            <v:imagedata r:id="rId8" o:title=""/>
          </v:shape>
          <o:OLEObject Type="Embed" ProgID="Equation.DSMT4" ShapeID="_x0000_i1027" DrawAspect="Content" ObjectID="_1611764086" r:id="rId11"/>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rsidR="00CA397B" w:rsidRPr="003B7873" w:rsidRDefault="00CA397B" w:rsidP="00CA397B">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v:shape id="_x0000_i1028" type="#_x0000_t75" style="width:16.3pt;height:19pt" o:ole="">
            <v:imagedata r:id="rId12" o:title=""/>
          </v:shape>
          <o:OLEObject Type="Embed" ProgID="Equation.DSMT4" ShapeID="_x0000_i1028" DrawAspect="Content" ObjectID="_1611764087" r:id="rId13"/>
        </w:object>
      </w:r>
      <w:r w:rsidRPr="003B7873">
        <w:rPr>
          <w:rFonts w:cs="Times New Roman"/>
          <w:iCs/>
          <w:szCs w:val="28"/>
        </w:rPr>
        <w:fldChar w:fldCharType="end"/>
      </w:r>
      <w:r w:rsidRPr="003B7873">
        <w:rPr>
          <w:rFonts w:cs="Times New Roman"/>
          <w:iCs/>
          <w:szCs w:val="28"/>
        </w:rPr>
        <w:t xml:space="preserve"> quantization for evaluation purposes.</w:t>
      </w:r>
    </w:p>
    <w:p w:rsidR="00CA397B" w:rsidRPr="003B7873" w:rsidRDefault="00CA397B" w:rsidP="00CA397B">
      <w:pPr>
        <w:rPr>
          <w:lang w:val="en-US" w:eastAsia="x-none"/>
        </w:rPr>
      </w:pPr>
    </w:p>
    <w:p w:rsidR="00CA397B" w:rsidRDefault="00B40FCC" w:rsidP="00CA397B">
      <w:pPr>
        <w:rPr>
          <w:lang w:val="en-US" w:eastAsia="zh-TW"/>
        </w:rPr>
      </w:pPr>
      <w:r>
        <w:t xml:space="preserve">And after the Taipei meeting, FD component selection and coefficient subset selection were discussion. </w:t>
      </w:r>
      <w:r w:rsidR="00CA397B">
        <w:rPr>
          <w:lang w:val="en-US" w:eastAsia="zh-TW"/>
        </w:rPr>
        <w:t>In this contribution, we provide our views on them.</w:t>
      </w:r>
    </w:p>
    <w:p w:rsidR="00CA397B" w:rsidRDefault="009C65DF" w:rsidP="00CA397B">
      <w:pPr>
        <w:pStyle w:val="Heading1"/>
      </w:pPr>
      <w:bookmarkStart w:id="3" w:name="_Toc1144400"/>
      <w:r>
        <w:t>Discussion on FD component selection and coefficient selection</w:t>
      </w:r>
      <w:bookmarkEnd w:id="3"/>
    </w:p>
    <w:p w:rsidR="00CA397B" w:rsidRDefault="00CA397B" w:rsidP="00CA397B">
      <w:pPr>
        <w:rPr>
          <w:lang w:val="en-US" w:eastAsia="zh-TW"/>
        </w:rPr>
      </w:pPr>
    </w:p>
    <w:p w:rsidR="00CA397B" w:rsidRPr="00E13523" w:rsidRDefault="00CA397B" w:rsidP="00CA397B">
      <w:pPr>
        <w:tabs>
          <w:tab w:val="center" w:pos="4800"/>
          <w:tab w:val="right" w:pos="9500"/>
        </w:tabs>
        <w:ind w:firstLine="720"/>
        <w:jc w:val="both"/>
        <w:rPr>
          <w:noProof/>
        </w:rPr>
      </w:pPr>
      <w:r>
        <w:rPr>
          <w:noProof/>
        </w:rPr>
        <w:t>We first establish notations to be used below.</w:t>
      </w:r>
    </w:p>
    <w:p w:rsidR="00CA397B" w:rsidRPr="00E13523" w:rsidRDefault="00CA397B" w:rsidP="00CA397B">
      <w:pPr>
        <w:tabs>
          <w:tab w:val="center" w:pos="4800"/>
          <w:tab w:val="right" w:pos="9500"/>
        </w:tabs>
        <w:ind w:firstLine="720"/>
        <w:jc w:val="both"/>
        <w:rPr>
          <w:noProof/>
        </w:rPr>
      </w:pPr>
      <w:r w:rsidRPr="00E13523">
        <w:rPr>
          <w:noProof/>
        </w:rPr>
        <w:t xml:space="preserve">A rank </w:t>
      </w:r>
      <m:oMath>
        <m:r>
          <w:rPr>
            <w:rFonts w:ascii="Cambria Math" w:hAnsi="Cambria Math"/>
            <w:noProof/>
          </w:rPr>
          <m:t>R</m:t>
        </m:r>
      </m:oMath>
      <w:r w:rsidRPr="00E13523">
        <w:rPr>
          <w:noProof/>
        </w:rPr>
        <w:t xml:space="preserve"> linear combination precoder can be written as</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CA397B" w:rsidRPr="00E13523" w:rsidRDefault="00CA397B" w:rsidP="00CA397B">
      <w:pPr>
        <w:tabs>
          <w:tab w:val="center" w:pos="4800"/>
          <w:tab w:val="right" w:pos="9500"/>
        </w:tabs>
        <w:jc w:val="both"/>
        <w:rPr>
          <w:noProof/>
        </w:rPr>
      </w:pPr>
      <w:r w:rsidRPr="00E13523">
        <w:rPr>
          <w:noProof/>
        </w:rPr>
        <w:t>Where</w:t>
      </w:r>
    </w:p>
    <w:p w:rsidR="00CA397B" w:rsidRPr="00E13523" w:rsidRDefault="00CA397B" w:rsidP="00CA397B">
      <w:pPr>
        <w:tabs>
          <w:tab w:val="center" w:pos="4800"/>
          <w:tab w:val="right" w:pos="9500"/>
        </w:tabs>
        <w:jc w:val="both"/>
        <w:rPr>
          <w:noProof/>
        </w:rPr>
      </w:pPr>
      <m:oMath>
        <m:r>
          <w:rPr>
            <w:rFonts w:ascii="Cambria Math" w:hAnsi="Cambria Math"/>
            <w:noProof/>
          </w:rPr>
          <w:lastRenderedPageBreak/>
          <m:t>B</m:t>
        </m:r>
        <m:r>
          <m:rPr>
            <m:sty m:val="p"/>
          </m:rPr>
          <w:rPr>
            <w:rFonts w:ascii="Cambria Math" w:hAnsi="Cambria Math"/>
            <w:noProof/>
          </w:rPr>
          <m:t>=</m:t>
        </m:r>
        <m:d>
          <m:dPr>
            <m:begChr m:val="["/>
            <m:endChr m:val="]"/>
            <m:ctrlPr>
              <w:rPr>
                <w:rFonts w:ascii="Cambria Math" w:hAnsi="Cambria Math"/>
              </w:rPr>
            </m:ctrlPr>
          </m:dPr>
          <m:e>
            <m:m>
              <m:mPr>
                <m:plcHide m:val="1"/>
                <m:mcs>
                  <m:mc>
                    <m:mcPr>
                      <m:count m:val="5"/>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r>
          <m:rPr>
            <m:sty m:val="p"/>
          </m:rPr>
          <w:rPr>
            <w:rFonts w:ascii="Cambria Math" w:hAnsi="Cambria Math"/>
            <w:noProof/>
          </w:rPr>
          <m:t>,</m:t>
        </m:r>
      </m:oMath>
      <w:r w:rsidRPr="00E13523">
        <w:rPr>
          <w:noProof/>
        </w:rPr>
        <w:t xml:space="preserve"> </w:t>
      </w:r>
      <m:oMath>
        <m:r>
          <w:rPr>
            <w:rFonts w:ascii="Cambria Math" w:hAnsi="Cambria Math"/>
            <w:noProof/>
          </w:rPr>
          <m:t>L</m:t>
        </m:r>
      </m:oMath>
      <w:r w:rsidRPr="00E13523">
        <w:rPr>
          <w:noProof/>
        </w:rPr>
        <w:t xml:space="preserve"> is the number of spatial beams per polarization, and </w:t>
      </w:r>
      <m:oMath>
        <m:sSub>
          <m:sSubPr>
            <m:ctrlPr>
              <w:rPr>
                <w:rFonts w:ascii="Cambria Math" w:hAnsi="Cambria Math"/>
              </w:rPr>
            </m:ctrlPr>
          </m:sSubPr>
          <m:e>
            <m:r>
              <w:rPr>
                <w:rFonts w:ascii="Cambria Math" w:hAnsi="Cambria Math"/>
                <w:noProof/>
              </w:rPr>
              <m:t>b</m:t>
            </m:r>
          </m:e>
          <m:sub>
            <m:r>
              <w:rPr>
                <w:rFonts w:ascii="Cambria Math" w:hAnsi="Cambria Math"/>
                <w:noProof/>
              </w:rPr>
              <m:t>i</m:t>
            </m:r>
          </m:sub>
        </m:sSub>
      </m:oMath>
      <w:r w:rsidRPr="00E13523">
        <w:rPr>
          <w:noProof/>
        </w:rPr>
        <w:t xml:space="preserve">, </w:t>
      </w:r>
      <m:oMath>
        <m:r>
          <m:rPr>
            <m:sty m:val="p"/>
          </m:rPr>
          <w:rPr>
            <w:rFonts w:ascii="Cambria Math" w:hAnsi="Cambria Math"/>
            <w:noProof/>
          </w:rPr>
          <m:t>1≤</m:t>
        </m:r>
        <m:r>
          <w:rPr>
            <w:rFonts w:ascii="Cambria Math" w:hAnsi="Cambria Math"/>
            <w:noProof/>
          </w:rPr>
          <m:t>i</m:t>
        </m:r>
        <m:r>
          <m:rPr>
            <m:sty m:val="p"/>
          </m:rPr>
          <w:rPr>
            <w:rFonts w:ascii="Cambria Math" w:hAnsi="Cambria Math"/>
            <w:noProof/>
          </w:rPr>
          <m:t>≤</m:t>
        </m:r>
        <m:r>
          <w:rPr>
            <w:rFonts w:ascii="Cambria Math" w:hAnsi="Cambria Math"/>
            <w:noProof/>
          </w:rPr>
          <m:t>L</m:t>
        </m:r>
      </m:oMath>
      <w:r w:rsidRPr="00E13523">
        <w:rPr>
          <w:noProof/>
        </w:rPr>
        <w:t xml:space="preserve"> are the spatial beams selected in a wideband fashion per polarization, and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 as in Rel-15 Type II CSI feedback;</w:t>
      </w: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rPr>
          <w:noProof/>
        </w:rPr>
      </w:pPr>
      <m:oMath>
        <m:r>
          <w:rPr>
            <w:rFonts w:ascii="Cambria Math" w:hAnsi="Cambria Math"/>
            <w:noProof/>
          </w:rPr>
          <m:t>r</m:t>
        </m:r>
      </m:oMath>
      <w:r w:rsidRPr="00E13523">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sidRPr="00E13523">
        <w:rPr>
          <w:noProof/>
        </w:rPr>
        <w:t xml:space="preserve">, and </w:t>
      </w:r>
    </w:p>
    <w:p w:rsidR="00CA397B" w:rsidRPr="00E13523" w:rsidRDefault="00CA397B" w:rsidP="00CA397B">
      <w:pPr>
        <w:tabs>
          <w:tab w:val="center" w:pos="4800"/>
          <w:tab w:val="right" w:pos="9500"/>
        </w:tabs>
        <w:rPr>
          <w:noProof/>
        </w:rPr>
      </w:pPr>
    </w:p>
    <w:p w:rsidR="00CA397B" w:rsidRPr="00E13523" w:rsidRDefault="00CA397B" w:rsidP="00CA397B">
      <w:pPr>
        <w:tabs>
          <w:tab w:val="center" w:pos="4800"/>
          <w:tab w:val="right" w:pos="9500"/>
        </w:tabs>
        <w:rPr>
          <w:noProof/>
        </w:rPr>
      </w:pPr>
      <m:oMath>
        <m:r>
          <w:rPr>
            <w:rFonts w:ascii="Cambria Math" w:hAnsi="Cambria Math"/>
            <w:noProof/>
          </w:rPr>
          <m:t>f</m:t>
        </m:r>
      </m:oMath>
      <w:r w:rsidRPr="00E13523">
        <w:rPr>
          <w:noProof/>
        </w:rPr>
        <w:t xml:space="preserve"> is a frequency index (e.g. the subband index or PRB index),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is the total number of frequency units (sub-bands, PRBs etc) over which the CSI feedback is applicable, e.g. 16 or 18.</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After performing the frequency unit padding/extension procedure</w:t>
      </w:r>
      <w:r w:rsidR="009C65DF">
        <w:rPr>
          <w:noProof/>
        </w:rPr>
        <w:t xml:space="preserve"> </w:t>
      </w:r>
      <w:r w:rsidR="009C65DF">
        <w:rPr>
          <w:noProof/>
        </w:rPr>
        <w:fldChar w:fldCharType="begin"/>
      </w:r>
      <w:r w:rsidR="009C65DF">
        <w:rPr>
          <w:noProof/>
        </w:rPr>
        <w:instrText xml:space="preserve"> REF _Ref1132421 \r \h </w:instrText>
      </w:r>
      <w:r w:rsidR="009C65DF">
        <w:rPr>
          <w:noProof/>
        </w:rPr>
      </w:r>
      <w:r w:rsidR="009C65DF">
        <w:rPr>
          <w:noProof/>
        </w:rPr>
        <w:fldChar w:fldCharType="separate"/>
      </w:r>
      <w:r w:rsidR="009C65DF">
        <w:rPr>
          <w:noProof/>
        </w:rPr>
        <w:t>[1]</w:t>
      </w:r>
      <w:r w:rsidR="009C65DF">
        <w:rPr>
          <w:noProof/>
        </w:rPr>
        <w:fldChar w:fldCharType="end"/>
      </w:r>
      <w:r w:rsidRPr="00E13523">
        <w:rPr>
          <w:noProof/>
        </w:rPr>
        <w:t xml:space="preserve">,   collect the precoders for spatial layer </w:t>
      </w:r>
      <m:oMath>
        <m:r>
          <w:rPr>
            <w:rFonts w:ascii="Cambria Math" w:hAnsi="Cambria Math"/>
            <w:noProof/>
          </w:rPr>
          <m:t>r</m:t>
        </m:r>
      </m:oMath>
      <w:r w:rsidRPr="00E13523">
        <w:rPr>
          <w:noProof/>
        </w:rPr>
        <w:t xml:space="preserve"> for all frequency indices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in a segment, then we have</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m>
          <m:mPr>
            <m:plcHide m:val="1"/>
            <m:mcs>
              <m:mc>
                <m:mcPr>
                  <m:count m:val="3"/>
                  <m:mcJc m:val="left"/>
                </m:mcPr>
              </m:mc>
            </m:mcs>
            <m:ctrlPr>
              <w:rPr>
                <w:rFonts w:ascii="Cambria Math" w:hAnsi="Cambria Math"/>
              </w:rPr>
            </m:ctrlPr>
          </m:mPr>
          <m:m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e>
                    </m:mr>
                  </m:m>
                </m:e>
              </m:d>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,0</m:t>
                            </m:r>
                          </m:sub>
                          <m:sup>
                            <m:r>
                              <m:rPr>
                                <m:sty m:val="p"/>
                              </m:rPr>
                              <w:rPr>
                                <w:rFonts w:ascii="Cambria Math" w:hAnsi="Cambria Math"/>
                                <w:noProof/>
                              </w:rPr>
                              <m:t>(2)</m:t>
                            </m:r>
                          </m:sup>
                        </m:sSubSup>
                      </m:e>
                      <m:e>
                        <m:r>
                          <m:rPr>
                            <m:sty m:val="p"/>
                          </m:rPr>
                          <w:rPr>
                            <w:rFonts w:ascii="Cambria Math" w:hAnsi="Cambria Math"/>
                            <w:noProof/>
                          </w:rPr>
                          <m:t>⋯</m:t>
                        </m:r>
                      </m:e>
                      <m:e>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up>
                            <m:r>
                              <m:rPr>
                                <m:sty m:val="p"/>
                              </m:rPr>
                              <w:rPr>
                                <w:rFonts w:ascii="Cambria Math" w:hAnsi="Cambria Math"/>
                                <w:noProof/>
                              </w:rPr>
                              <m:t>(2)</m:t>
                            </m:r>
                          </m:sup>
                        </m:sSubSup>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
                        </m:e>
                      </m:d>
                    </m:e>
                  </m:groupChr>
                </m:e>
                <m:lim>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sub>
                  </m:sSub>
                </m:lim>
              </m:limLow>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f</m:t>
                            </m:r>
                          </m:e>
                          <m:sub>
                            <m:r>
                              <m:rPr>
                                <m:sty m:val="p"/>
                              </m:rPr>
                              <w:rPr>
                                <w:rFonts w:ascii="Cambria Math" w:hAnsi="Cambria Math"/>
                                <w:noProof/>
                              </w:rPr>
                              <m:t>0</m:t>
                            </m:r>
                          </m:sub>
                          <m:sup>
                            <m:r>
                              <w:rPr>
                                <w:rFonts w:ascii="Cambria Math" w:hAnsi="Cambria Math"/>
                                <w:noProof/>
                              </w:rPr>
                              <m:t>H</m:t>
                            </m:r>
                          </m:sup>
                        </m:sSubSup>
                      </m:e>
                    </m:mr>
                    <m:mr>
                      <m:e>
                        <m:r>
                          <m:rPr>
                            <m:sty m:val="p"/>
                          </m:rPr>
                          <w:rPr>
                            <w:rFonts w:ascii="Cambria Math" w:hAnsi="Cambria Math"/>
                            <w:noProof/>
                          </w:rPr>
                          <m:t>⋮</m:t>
                        </m:r>
                      </m:e>
                    </m:mr>
                    <m:mr>
                      <m:e>
                        <m:sSubSup>
                          <m:sSubSupPr>
                            <m:ctrlPr>
                              <w:rPr>
                                <w:rFonts w:ascii="Cambria Math" w:hAnsi="Cambria Math"/>
                              </w:rPr>
                            </m:ctrlPr>
                          </m:sSubSupPr>
                          <m:e>
                            <m:r>
                              <w:rPr>
                                <w:rFonts w:ascii="Cambria Math" w:hAnsi="Cambria Math"/>
                                <w:noProof/>
                              </w:rPr>
                              <m:t>f</m:t>
                            </m:r>
                          </m:e>
                          <m:sub>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up>
                            <m:r>
                              <w:rPr>
                                <w:rFonts w:ascii="Cambria Math" w:hAnsi="Cambria Math"/>
                                <w:noProof/>
                              </w:rPr>
                              <m:t>H</m:t>
                            </m:r>
                          </m:sup>
                        </m:sSubSup>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
                        </m:e>
                      </m:d>
                    </m:e>
                  </m:groupChr>
                </m:e>
                <m:lim>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lim>
              </m:limLow>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f</m:t>
                            </m:r>
                          </m:e>
                          <m:sub>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up>
                            <m:r>
                              <w:rPr>
                                <w:rFonts w:ascii="Cambria Math" w:hAnsi="Cambria Math"/>
                                <w:noProof/>
                              </w:rPr>
                              <m:t>H</m:t>
                            </m:r>
                          </m:sup>
                        </m:sSubSup>
                      </m:e>
                    </m:mr>
                    <m:mr>
                      <m:e>
                        <m:r>
                          <m:rPr>
                            <m:sty m:val="p"/>
                          </m:rPr>
                          <w:rPr>
                            <w:rFonts w:ascii="Cambria Math" w:hAnsi="Cambria Math"/>
                            <w:noProof/>
                          </w:rPr>
                          <m:t>⋮</m:t>
                        </m:r>
                      </m:e>
                    </m:mr>
                    <m:mr>
                      <m:e>
                        <m:sSubSup>
                          <m:sSubSupPr>
                            <m:ctrlPr>
                              <w:rPr>
                                <w:rFonts w:ascii="Cambria Math" w:hAnsi="Cambria Math"/>
                              </w:rPr>
                            </m:ctrlPr>
                          </m:sSubSupPr>
                          <m:e>
                            <m:r>
                              <w:rPr>
                                <w:rFonts w:ascii="Cambria Math" w:hAnsi="Cambria Math"/>
                                <w:noProof/>
                              </w:rPr>
                              <m:t>f</m:t>
                            </m:r>
                          </m:e>
                          <m:sub>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up>
                            <m:r>
                              <w:rPr>
                                <w:rFonts w:ascii="Cambria Math" w:hAnsi="Cambria Math"/>
                                <w:noProof/>
                              </w:rPr>
                              <m:t>H</m:t>
                            </m:r>
                          </m:sup>
                        </m:sSubSup>
                      </m:e>
                    </m:mr>
                  </m:m>
                </m:e>
              </m:d>
            </m:e>
          </m:mr>
        </m:m>
      </m:oMath>
    </w:p>
    <w:p w:rsidR="00CA397B" w:rsidRPr="00E13523" w:rsidRDefault="00CA397B" w:rsidP="00CA397B">
      <w:pPr>
        <w:tabs>
          <w:tab w:val="center" w:pos="4800"/>
          <w:tab w:val="right" w:pos="9500"/>
        </w:tabs>
        <w:jc w:val="both"/>
        <w:rPr>
          <w:noProof/>
        </w:rPr>
      </w:pPr>
      <w:r w:rsidRPr="00E13523">
        <w:rPr>
          <w:noProof/>
        </w:rPr>
        <w:t>and</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lastRenderedPageBreak/>
        <w:tab/>
      </w:r>
      <m:oMath>
        <m:sSub>
          <m:sSubPr>
            <m:ctrlPr>
              <w:rPr>
                <w:rFonts w:ascii="Cambria Math" w:hAnsi="Cambria Math"/>
              </w:rPr>
            </m:ctrlPr>
          </m:sSubPr>
          <m:e>
            <m:r>
              <w:rPr>
                <w:rFonts w:ascii="Cambria Math" w:hAnsi="Cambria Math"/>
                <w:noProof/>
              </w:rPr>
              <m:t>f</m:t>
            </m:r>
          </m:e>
          <m:sub>
            <m:r>
              <w:rPr>
                <w:rFonts w:ascii="Cambria Math" w:hAnsi="Cambria Math"/>
                <w:noProof/>
              </w:rPr>
              <m:t>d</m:t>
            </m:r>
          </m:sub>
        </m:sSub>
        <m:r>
          <m:rPr>
            <m:sty m:val="p"/>
          </m:rPr>
          <w:rPr>
            <w:rFonts w:ascii="Cambria Math" w:hAnsi="Cambria Math"/>
            <w:noProof/>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⋅0⋅</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⋅1⋅</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r>
                <m:e>
                  <m:r>
                    <m:rPr>
                      <m:sty m:val="p"/>
                    </m:rPr>
                    <w:rPr>
                      <w:rFonts w:ascii="Cambria Math" w:hAnsi="Cambria Math"/>
                      <w:noProof/>
                    </w:rPr>
                    <m:t>⋮</m:t>
                  </m:r>
                </m:e>
              </m:m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
          </m:e>
        </m:d>
      </m:oMath>
    </w:p>
    <w:p w:rsidR="00CA397B" w:rsidRDefault="00CA397B" w:rsidP="00CA397B">
      <w:pPr>
        <w:tabs>
          <w:tab w:val="center" w:pos="4800"/>
          <w:tab w:val="right" w:pos="9500"/>
        </w:tabs>
        <w:jc w:val="both"/>
        <w:rPr>
          <w:noProof/>
        </w:rPr>
      </w:pPr>
      <w:r w:rsidRPr="00E13523">
        <w:rPr>
          <w:noProof/>
        </w:rPr>
        <w:t xml:space="preserve">where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is the number of frequency bins for CSI feedback or equally the maximum number of delay taps in the time domain formulation, and </w:t>
      </w:r>
      <m:oMath>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oMath>
      <w:r w:rsidRPr="00E13523">
        <w:rPr>
          <w:noProof/>
        </w:rPr>
        <w:t xml:space="preserve"> is an oversampling factor. And </w:t>
      </w:r>
      <m:oMath>
        <m:r>
          <w:rPr>
            <w:rFonts w:ascii="Cambria Math" w:hAnsi="Cambria Math"/>
            <w:noProof/>
          </w:rPr>
          <m:t>M</m:t>
        </m:r>
      </m:oMath>
      <w:r w:rsidRPr="00E13523">
        <w:rPr>
          <w:noProof/>
        </w:rPr>
        <w:t xml:space="preserve"> delay taps are used in the approximation; and </w:t>
      </w:r>
      <m:oMath>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oMath>
      <w:r w:rsidRPr="00E13523">
        <w:rPr>
          <w:noProof/>
        </w:rPr>
        <w:t xml:space="preserve">’s role is best understood in the time domain formulation as it provides a finer timing unit for delay taps through </w:t>
      </w:r>
      <m:oMath>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oMath>
      <w:r w:rsidRPr="00E13523">
        <w:rPr>
          <w:noProof/>
        </w:rPr>
        <w:t xml:space="preserve">, </w:t>
      </w:r>
      <m:oMath>
        <m:r>
          <m:rPr>
            <m:sty m:val="p"/>
          </m:rPr>
          <w:rPr>
            <w:rFonts w:ascii="Cambria Math" w:hAnsi="Cambria Math"/>
            <w:noProof/>
          </w:rPr>
          <m:t>0≤</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-1</m:t>
        </m:r>
      </m:oMath>
      <w:r w:rsidRPr="00E13523">
        <w:rPr>
          <w:noProof/>
        </w:rPr>
        <w:t xml:space="preserve">. In one particular case </w:t>
      </w:r>
      <m:oMath>
        <m:r>
          <m:rPr>
            <m:sty m:val="p"/>
          </m:rPr>
          <w:rPr>
            <w:rFonts w:ascii="Cambria Math" w:hAnsi="Cambria Math"/>
            <w:noProof/>
          </w:rPr>
          <m:t>0≤</m:t>
        </m:r>
        <m:sSub>
          <m:sSubPr>
            <m:ctrlPr>
              <w:rPr>
                <w:rFonts w:ascii="Cambria Math" w:hAnsi="Cambria Math"/>
              </w:rPr>
            </m:ctrlPr>
          </m:sSubPr>
          <m:e>
            <m:r>
              <m:rPr>
                <m:sty m:val="p"/>
              </m:rPr>
              <w:rPr>
                <w:rFonts w:ascii="Cambria Math" w:hAnsi="Cambria Math"/>
              </w:rPr>
              <m:t>m</m:t>
            </m:r>
            <m:ctrlPr>
              <w:rPr>
                <w:rFonts w:ascii="Cambria Math" w:hAnsi="Cambria Math"/>
                <w:noProof/>
              </w:rPr>
            </m:ctrlPr>
          </m:e>
          <m:sub>
            <m:r>
              <m:rPr>
                <m:sty m:val="p"/>
              </m:rPr>
              <w:rPr>
                <w:rFonts w:ascii="Cambria Math" w:hAnsi="Cambria Math"/>
              </w:rPr>
              <m:t>d</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oMath>
      <w:r w:rsidRPr="00E13523">
        <w:rPr>
          <w:noProof/>
        </w:rPr>
        <w:t>.</w:t>
      </w:r>
    </w:p>
    <w:p w:rsidR="003A5F15" w:rsidRDefault="003A5F15" w:rsidP="00CA397B">
      <w:pPr>
        <w:tabs>
          <w:tab w:val="center" w:pos="4800"/>
          <w:tab w:val="right" w:pos="9500"/>
        </w:tabs>
        <w:jc w:val="both"/>
        <w:rPr>
          <w:noProof/>
        </w:rPr>
      </w:pP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At this stage the delay tap selection is common for spatial beam </w:t>
      </w:r>
      <m:oMath>
        <m:r>
          <w:rPr>
            <w:rFonts w:ascii="Cambria Math" w:hAnsi="Cambria Math"/>
            <w:noProof/>
          </w:rPr>
          <m:t>i</m:t>
        </m:r>
      </m:oMath>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m:t>
        </m:r>
      </m:oMath>
      <w:r w:rsidRPr="00E13523">
        <w:rPr>
          <w:noProof/>
        </w:rPr>
        <w:t xml:space="preserve">. In a later stage, as a coefficient </w:t>
      </w:r>
      <m:oMath>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m</m:t>
            </m:r>
          </m:sub>
        </m:sSub>
      </m:oMath>
      <w:r w:rsidRPr="00E13523">
        <w:rPr>
          <w:noProof/>
        </w:rPr>
        <w:t xml:space="preserve"> connecting spatial beam </w:t>
      </w:r>
      <m:oMath>
        <m:r>
          <w:rPr>
            <w:rFonts w:ascii="Cambria Math" w:hAnsi="Cambria Math"/>
            <w:noProof/>
          </w:rPr>
          <m:t>i</m:t>
        </m:r>
      </m:oMath>
      <w:r w:rsidRPr="00E13523">
        <w:rPr>
          <w:noProof/>
        </w:rPr>
        <w:t xml:space="preserve"> and delay tap </w:t>
      </w:r>
      <m:oMath>
        <m:r>
          <w:rPr>
            <w:rFonts w:ascii="Cambria Math" w:hAnsi="Cambria Math"/>
            <w:noProof/>
          </w:rPr>
          <m:t>m</m:t>
        </m:r>
      </m:oMath>
      <w:r w:rsidRPr="00E13523">
        <w:rPr>
          <w:noProof/>
        </w:rPr>
        <w:t xml:space="preserve"> at spatial layer </w:t>
      </w:r>
      <m:oMath>
        <m:r>
          <w:rPr>
            <w:rFonts w:ascii="Cambria Math" w:hAnsi="Cambria Math"/>
            <w:noProof/>
          </w:rPr>
          <m:t>r</m:t>
        </m:r>
      </m:oMath>
      <w:r w:rsidRPr="00E13523">
        <w:rPr>
          <w:noProof/>
        </w:rPr>
        <w:t xml:space="preserve"> can be set to 0, not all </w:t>
      </w:r>
      <m:oMath>
        <m:r>
          <w:rPr>
            <w:rFonts w:ascii="Cambria Math" w:hAnsi="Cambria Math"/>
            <w:noProof/>
          </w:rPr>
          <m:t>M</m:t>
        </m:r>
      </m:oMath>
      <w:r w:rsidRPr="00E13523">
        <w:rPr>
          <w:noProof/>
        </w:rPr>
        <w:t xml:space="preserve"> delay taps are </w:t>
      </w:r>
      <w:r w:rsidR="009C65DF">
        <w:rPr>
          <w:noProof/>
        </w:rPr>
        <w:t xml:space="preserve"> </w:t>
      </w:r>
      <w:r w:rsidR="009C65DF" w:rsidRPr="00E13523">
        <w:rPr>
          <w:noProof/>
        </w:rPr>
        <w:t xml:space="preserve"> </w:t>
      </w:r>
      <w:r w:rsidRPr="00E13523">
        <w:rPr>
          <w:noProof/>
        </w:rPr>
        <w:t xml:space="preserve">necessarily present for a given spatial beam </w:t>
      </w:r>
      <m:oMath>
        <m:r>
          <w:rPr>
            <w:rFonts w:ascii="Cambria Math" w:hAnsi="Cambria Math"/>
            <w:noProof/>
          </w:rPr>
          <m:t>i</m:t>
        </m:r>
      </m:oMath>
      <w:r w:rsidRPr="00E13523">
        <w:rPr>
          <w:noProof/>
        </w:rPr>
        <w:t xml:space="preserve">. In another word, among </w:t>
      </w:r>
      <m:oMath>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M</m:t>
        </m:r>
      </m:oMath>
      <w:r w:rsidRPr="00E13523">
        <w:rPr>
          <w:noProof/>
        </w:rPr>
        <w:t xml:space="preserve"> elements in the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only a some of them take non-zero coefficients. To re-construct the elements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on the network side, then the UE needs to signal the positions of those non-zero elements and non-zero elements themselves.</w:t>
      </w:r>
    </w:p>
    <w:p w:rsidR="003A5F15" w:rsidRDefault="003A5F15" w:rsidP="003A5F15">
      <w:pPr>
        <w:tabs>
          <w:tab w:val="center" w:pos="4800"/>
          <w:tab w:val="right" w:pos="9500"/>
        </w:tabs>
        <w:rPr>
          <w:noProof/>
        </w:rPr>
      </w:pPr>
      <w:r>
        <w:rPr>
          <w:noProof/>
        </w:rPr>
        <w:t>Our view is ultimately the key mechanism for overhead reduction in Rel-16 is through selecting coefficients with relatively large amplitudes; FD component selection can play an all important role for some schemes, but FD component selection may be of less importance for other schemes. Hence we should not de</w:t>
      </w:r>
      <w:r w:rsidR="00ED0ED0">
        <w:rPr>
          <w:noProof/>
        </w:rPr>
        <w:t>cide on</w:t>
      </w:r>
      <w:r>
        <w:rPr>
          <w:noProof/>
        </w:rPr>
        <w:t xml:space="preserve"> FD component selection in isolation. </w:t>
      </w:r>
    </w:p>
    <w:p w:rsidR="003A5F15" w:rsidRDefault="003A5F15" w:rsidP="003A5F15">
      <w:pPr>
        <w:tabs>
          <w:tab w:val="center" w:pos="4800"/>
          <w:tab w:val="right" w:pos="9500"/>
        </w:tabs>
        <w:rPr>
          <w:noProof/>
        </w:rPr>
      </w:pPr>
      <w:r>
        <w:rPr>
          <w:noProof/>
        </w:rPr>
        <w:t>We have</w:t>
      </w:r>
    </w:p>
    <w:p w:rsidR="003A5F15" w:rsidRPr="003A5F15" w:rsidRDefault="003A5F15" w:rsidP="003A5F15">
      <w:pPr>
        <w:tabs>
          <w:tab w:val="center" w:pos="4800"/>
          <w:tab w:val="right" w:pos="9500"/>
        </w:tabs>
        <w:jc w:val="both"/>
        <w:rPr>
          <w:b/>
          <w:noProof/>
        </w:rPr>
      </w:pPr>
      <w:r w:rsidRPr="003A5F15">
        <w:rPr>
          <w:b/>
          <w:noProof/>
        </w:rPr>
        <w:t xml:space="preserve">Observation: </w:t>
      </w:r>
      <w:r>
        <w:rPr>
          <w:b/>
          <w:noProof/>
        </w:rPr>
        <w:t>coefficient selection plays a central role in achieving overhead reduction in Rel-16.</w:t>
      </w:r>
    </w:p>
    <w:p w:rsidR="00657F00" w:rsidRDefault="00657F00" w:rsidP="00657F00">
      <w:pPr>
        <w:tabs>
          <w:tab w:val="center" w:pos="4800"/>
          <w:tab w:val="right" w:pos="9500"/>
        </w:tabs>
        <w:jc w:val="both"/>
        <w:rPr>
          <w:noProof/>
        </w:rPr>
      </w:pPr>
    </w:p>
    <w:p w:rsidR="00CA397B" w:rsidRPr="00E13523" w:rsidRDefault="00ED0ED0" w:rsidP="00657F00">
      <w:pPr>
        <w:tabs>
          <w:tab w:val="center" w:pos="4800"/>
          <w:tab w:val="right" w:pos="9500"/>
        </w:tabs>
        <w:jc w:val="both"/>
        <w:rPr>
          <w:noProof/>
        </w:rPr>
      </w:pPr>
      <w:r>
        <w:rPr>
          <w:noProof/>
        </w:rPr>
        <w:t>Next w</w:t>
      </w:r>
      <w:r w:rsidR="00CA397B" w:rsidRPr="00E13523">
        <w:rPr>
          <w:noProof/>
        </w:rPr>
        <w:t>e provide a sketch of other parts in the proposed CSI feedback design</w:t>
      </w:r>
      <w:r w:rsidR="00657F00">
        <w:rPr>
          <w:noProof/>
        </w:rPr>
        <w:t xml:space="preserve"> besides frequency unit segmentation</w:t>
      </w:r>
      <w:r w:rsidR="00CA397B" w:rsidRPr="00E13523">
        <w:rPr>
          <w:noProof/>
        </w:rPr>
        <w:t>:</w:t>
      </w:r>
    </w:p>
    <w:p w:rsidR="006C7305" w:rsidRDefault="00CA397B" w:rsidP="006C7305">
      <w:pPr>
        <w:tabs>
          <w:tab w:val="center" w:pos="4800"/>
          <w:tab w:val="right" w:pos="9500"/>
        </w:tabs>
        <w:ind w:firstLine="720"/>
        <w:jc w:val="both"/>
        <w:rPr>
          <w:noProof/>
        </w:rPr>
      </w:pPr>
      <w:r w:rsidRPr="00E13523">
        <w:rPr>
          <w:noProof/>
        </w:rPr>
        <w:t xml:space="preserve"> </w:t>
      </w:r>
    </w:p>
    <w:p w:rsidR="00CA397B" w:rsidRPr="00E13523" w:rsidRDefault="00CA397B" w:rsidP="006C7305">
      <w:pPr>
        <w:tabs>
          <w:tab w:val="center" w:pos="4800"/>
          <w:tab w:val="right" w:pos="9500"/>
        </w:tabs>
        <w:jc w:val="both"/>
        <w:rPr>
          <w:noProof/>
        </w:rPr>
      </w:pPr>
      <w:r w:rsidRPr="00E13523">
        <w:rPr>
          <w:noProof/>
        </w:rPr>
        <w:t xml:space="preserve"> • </w:t>
      </w:r>
      <w:r w:rsidRPr="00E13523">
        <w:rPr>
          <w:b/>
          <w:bCs/>
          <w:noProof/>
        </w:rPr>
        <w:t xml:space="preserve"> Spatial beam selection </w:t>
      </w:r>
      <w:r w:rsidRPr="00E13523">
        <w:rPr>
          <w:noProof/>
        </w:rPr>
        <w:t xml:space="preserve"> is wideband and common for spatial layers if rank 2 or more is involved. Spatial beam selection allows a UE to select beam directions with significant power emitted from the network.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polarizations. </w:t>
      </w:r>
    </w:p>
    <w:p w:rsidR="006C7305" w:rsidRDefault="006C7305" w:rsidP="006C7305">
      <w:pPr>
        <w:tabs>
          <w:tab w:val="center" w:pos="4800"/>
          <w:tab w:val="right" w:pos="9500"/>
        </w:tabs>
        <w:rPr>
          <w:noProof/>
        </w:rPr>
      </w:pPr>
    </w:p>
    <w:p w:rsidR="004B42A1" w:rsidRDefault="00CA397B" w:rsidP="00B44A0F">
      <w:pPr>
        <w:pStyle w:val="Heading2"/>
        <w:rPr>
          <w:noProof/>
        </w:rPr>
      </w:pPr>
      <w:r w:rsidRPr="00E13523">
        <w:rPr>
          <w:noProof/>
        </w:rPr>
        <w:t xml:space="preserve"> </w:t>
      </w:r>
      <w:bookmarkStart w:id="4" w:name="_Toc1144401"/>
      <w:r w:rsidRPr="00E13523">
        <w:rPr>
          <w:noProof/>
        </w:rPr>
        <w:t>FD component selection (equivalently delay tap selection)</w:t>
      </w:r>
      <w:bookmarkEnd w:id="4"/>
      <w:r w:rsidRPr="00E13523">
        <w:rPr>
          <w:noProof/>
        </w:rPr>
        <w:t xml:space="preserve"> </w:t>
      </w:r>
    </w:p>
    <w:p w:rsidR="004F11FB" w:rsidRDefault="004B42A1" w:rsidP="00CA397B">
      <w:pPr>
        <w:tabs>
          <w:tab w:val="center" w:pos="4800"/>
          <w:tab w:val="right" w:pos="9500"/>
        </w:tabs>
        <w:ind w:firstLine="720"/>
        <w:rPr>
          <w:noProof/>
        </w:rPr>
      </w:pPr>
      <w:r>
        <w:rPr>
          <w:noProof/>
        </w:rPr>
        <w:t xml:space="preserve">FD component selection </w:t>
      </w:r>
      <w:r w:rsidR="00CA397B" w:rsidRPr="00E13523">
        <w:rPr>
          <w:noProof/>
        </w:rPr>
        <w:t xml:space="preserve">is wideband and common for </w:t>
      </w:r>
      <m:oMath>
        <m:r>
          <m:rPr>
            <m:sty m:val="p"/>
          </m:rPr>
          <w:rPr>
            <w:rFonts w:ascii="Cambria Math" w:hAnsi="Cambria Math"/>
            <w:noProof/>
          </w:rPr>
          <m:t>2</m:t>
        </m:r>
        <m:r>
          <w:rPr>
            <w:rFonts w:ascii="Cambria Math" w:hAnsi="Cambria Math"/>
            <w:noProof/>
          </w:rPr>
          <m:t>L</m:t>
        </m:r>
      </m:oMath>
      <w:r w:rsidR="00CA397B" w:rsidRPr="00E13523">
        <w:rPr>
          <w:noProof/>
        </w:rPr>
        <w:t xml:space="preserve"> spatial beams. If rank 2 or more is involved, also the delay tap selection can be common across spatial layers. With FD component/delay tap selection, among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CA397B" w:rsidRPr="00E13523">
        <w:rPr>
          <w:noProof/>
        </w:rPr>
        <w:t xml:space="preserve"> FD components/delay taps, only </w:t>
      </w:r>
      <m:oMath>
        <m:r>
          <w:rPr>
            <w:rFonts w:ascii="Cambria Math" w:hAnsi="Cambria Math"/>
            <w:noProof/>
          </w:rPr>
          <m:t>M</m:t>
        </m:r>
      </m:oMath>
      <w:r w:rsidR="00CA397B" w:rsidRPr="00E13523">
        <w:rPr>
          <w:noProof/>
        </w:rPr>
        <w:t xml:space="preserve"> delay taps with</w:t>
      </w:r>
      <w:r w:rsidR="00CA397B">
        <w:rPr>
          <w:noProof/>
        </w:rPr>
        <w:t xml:space="preserve"> more</w:t>
      </w:r>
      <w:r w:rsidR="00CA397B" w:rsidRPr="00E13523">
        <w:rPr>
          <w:noProof/>
        </w:rPr>
        <w:t xml:space="preserve"> significant power (delay taps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r>
          <m:rPr>
            <m:sty m:val="p"/>
          </m:rPr>
          <w:rPr>
            <w:rFonts w:ascii="Cambria Math" w:hAnsi="Cambria Math"/>
            <w:noProof/>
          </w:rPr>
          <m:t>,  ⋯,</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oMath>
      <w:r w:rsidR="00CA397B" w:rsidRPr="00E13523">
        <w:rPr>
          <w:noProof/>
        </w:rPr>
        <w:t xml:space="preserve"> ) </w:t>
      </w:r>
      <w:r w:rsidR="00CA397B">
        <w:rPr>
          <w:noProof/>
        </w:rPr>
        <w:t xml:space="preserve">than the rest </w:t>
      </w:r>
      <w:r w:rsidR="00CA397B" w:rsidRPr="00E13523">
        <w:rPr>
          <w:noProof/>
        </w:rPr>
        <w:t xml:space="preserve">are selected. Delay tap selection allows a UE to identify delay taps manifesting significant power overall. </w:t>
      </w:r>
    </w:p>
    <w:p w:rsidR="00CA397B" w:rsidRPr="00E13523" w:rsidRDefault="00CA397B" w:rsidP="004F11FB">
      <w:pPr>
        <w:tabs>
          <w:tab w:val="center" w:pos="4800"/>
          <w:tab w:val="right" w:pos="9500"/>
        </w:tabs>
        <w:rPr>
          <w:noProof/>
        </w:rPr>
      </w:pPr>
      <w:r w:rsidRPr="00E13523">
        <w:rPr>
          <w:noProof/>
        </w:rPr>
        <w:t xml:space="preserve">Note delay tap selection does not prescribe the processing order in UE implementation. In one implementation, coefficient selection, which is described in more details below, is directly pursued over all the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delay taps:</w:t>
      </w:r>
    </w:p>
    <w:p w:rsidR="00CA397B" w:rsidRPr="00E13523" w:rsidRDefault="00CA397B" w:rsidP="00CA397B">
      <w:pPr>
        <w:tabs>
          <w:tab w:val="center" w:pos="4800"/>
          <w:tab w:val="right" w:pos="9500"/>
        </w:tabs>
        <w:ind w:firstLine="720"/>
        <w:rPr>
          <w:noProof/>
        </w:rPr>
      </w:pPr>
      <w:r w:rsidRPr="00E13523">
        <w:rPr>
          <w:noProof/>
        </w:rPr>
        <w:t xml:space="preserve">        - For coefficient selection schemes 1 and 2, which are described below, </w:t>
      </w:r>
      <m:oMath>
        <m:r>
          <w:rPr>
            <w:rFonts w:ascii="Cambria Math" w:hAnsi="Cambria Math"/>
            <w:noProof/>
          </w:rPr>
          <m:t>K</m:t>
        </m:r>
      </m:oMath>
      <w:r w:rsidRPr="00E13523">
        <w:rPr>
          <w:noProof/>
        </w:rPr>
        <w:t xml:space="preserve"> coefficients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with positions given by </w:t>
      </w:r>
      <m:oMath>
        <m:r>
          <m:rPr>
            <m:sty m:val="p"/>
          </m:rPr>
          <w:rPr>
            <w:rFonts w:ascii="Cambria Math" w:hAnsi="Cambria Math"/>
            <w:noProof/>
          </w:rPr>
          <m:t>{(</m:t>
        </m:r>
        <m:sSub>
          <m:sSubPr>
            <m:ctrlPr>
              <w:rPr>
                <w:rFonts w:ascii="Cambria Math" w:hAnsi="Cambria Math"/>
              </w:rPr>
            </m:ctrlPr>
          </m:sSubPr>
          <m:e>
            <m:r>
              <w:rPr>
                <w:rFonts w:ascii="Cambria Math" w:hAnsi="Cambria Math"/>
                <w:noProof/>
              </w:rPr>
              <m:t>i</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  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 xml:space="preserve"> are selected from </w:t>
      </w:r>
      <m:oMath>
        <m:r>
          <m:rPr>
            <m:sty m:val="p"/>
          </m:rPr>
          <w:rPr>
            <w:rFonts w:ascii="Cambria Math" w:hAnsi="Cambria Math"/>
            <w:noProof/>
          </w:rPr>
          <m:t>2</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elements according to</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  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 xml:space="preserve">-1    </m:t>
        </m:r>
      </m:oMath>
      <w:r>
        <w:rPr>
          <w:noProof/>
        </w:rPr>
        <w:t xml:space="preserve"> for spatial layer </w:t>
      </w:r>
      <m:oMath>
        <m:r>
          <w:rPr>
            <w:rFonts w:ascii="Cambria Math" w:hAnsi="Cambria Math"/>
            <w:noProof/>
          </w:rPr>
          <m:t>r</m:t>
        </m:r>
      </m:oMath>
    </w:p>
    <w:p w:rsidR="00CA397B" w:rsidRPr="00E13523" w:rsidRDefault="00CA397B" w:rsidP="00CA397B">
      <w:pPr>
        <w:tabs>
          <w:tab w:val="center" w:pos="4800"/>
          <w:tab w:val="right" w:pos="9500"/>
        </w:tabs>
        <w:jc w:val="both"/>
        <w:rPr>
          <w:noProof/>
        </w:rPr>
      </w:pPr>
      <w:r w:rsidRPr="00E13523">
        <w:rPr>
          <w:noProof/>
        </w:rPr>
        <w:t>or</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d>
          <m:dPr>
            <m:begChr m:val="{"/>
            <m:endChr m:val="}"/>
            <m:ctrlPr>
              <w:rPr>
                <w:rFonts w:ascii="Cambria Math" w:hAnsi="Cambria Math"/>
                <w:noProof/>
              </w:rPr>
            </m:ctrlPr>
          </m:dPr>
          <m:e>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=1</m:t>
                </m:r>
              </m:sub>
              <m:sup>
                <m:r>
                  <w:rPr>
                    <w:rFonts w:ascii="Cambria Math" w:hAnsi="Cambria Math"/>
                    <w:noProof/>
                  </w:rPr>
                  <m:t>R</m:t>
                </m:r>
              </m:sup>
              <m:e>
                <m:r>
                  <m:rPr>
                    <m:sty m:val="p"/>
                  </m:rPr>
                  <w:rPr>
                    <w:rFonts w:ascii="Cambria Math" w:hAnsi="Cambria Math"/>
                    <w:noProof/>
                  </w:rPr>
                  <m:t>‍</m:t>
                </m:r>
              </m:e>
            </m:nary>
          </m:e>
          <m:e>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e>
        </m:d>
        <m:r>
          <m:rPr>
            <m:sty m:val="p"/>
          </m:rPr>
          <w:rPr>
            <w:rFonts w:ascii="Cambria Math" w:hAnsi="Cambria Math"/>
            <w:noProof/>
          </w:rPr>
          <m:t>,0≤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oMath>
      <w:r>
        <w:rPr>
          <w:noProof/>
        </w:rPr>
        <w:t xml:space="preserve"> for all (or some) spatial </w:t>
      </w:r>
      <w:r w:rsidRPr="00B33DA2">
        <w:rPr>
          <w:noProof/>
        </w:rPr>
        <w:t>layers</w:t>
      </w:r>
    </w:p>
    <w:p w:rsidR="00CA397B" w:rsidRPr="00E13523" w:rsidRDefault="00CA397B" w:rsidP="00CA397B">
      <w:pPr>
        <w:tabs>
          <w:tab w:val="center" w:pos="4800"/>
          <w:tab w:val="right" w:pos="9500"/>
        </w:tabs>
        <w:jc w:val="both"/>
        <w:rPr>
          <w:noProof/>
        </w:rPr>
      </w:pPr>
      <w:r w:rsidRPr="00E13523">
        <w:rPr>
          <w:noProof/>
        </w:rPr>
        <w:lastRenderedPageBreak/>
        <w:t xml:space="preserve">and the set of delay tap indices </w:t>
      </w:r>
      <m:oMath>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r>
          <m:rPr>
            <m:sty m:val="p"/>
          </m:rPr>
          <w:rPr>
            <w:rFonts w:ascii="Cambria Math" w:hAnsi="Cambria Math"/>
            <w:noProof/>
          </w:rPr>
          <m:t>,  ⋯,</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r>
          <m:rPr>
            <m:sty m:val="p"/>
          </m:rPr>
          <w:rPr>
            <w:rFonts w:ascii="Cambria Math" w:hAnsi="Cambria Math"/>
            <w:noProof/>
          </w:rPr>
          <m:t>}</m:t>
        </m:r>
      </m:oMath>
      <w:r w:rsidRPr="00E13523">
        <w:rPr>
          <w:noProof/>
        </w:rPr>
        <w:t xml:space="preserve"> is equal to the set </w:t>
      </w:r>
      <m:oMath>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 xml:space="preserve">        - for coefficient selection schemes 3 and 4, which are described below : or </w:t>
      </w:r>
      <m:oMath>
        <m:r>
          <w:rPr>
            <w:rFonts w:ascii="Cambria Math" w:hAnsi="Cambria Math"/>
            <w:noProof/>
          </w:rPr>
          <m:t>K</m:t>
        </m:r>
        <m:r>
          <m:rPr>
            <m:sty m:val="p"/>
          </m:rPr>
          <w:rPr>
            <w:rFonts w:ascii="Cambria Math" w:hAnsi="Cambria Math"/>
            <w:noProof/>
          </w:rPr>
          <m:t>/2</m:t>
        </m:r>
      </m:oMath>
      <w:r w:rsidRPr="00E13523">
        <w:rPr>
          <w:noProof/>
        </w:rPr>
        <w:t xml:space="preserve"> coefficents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with positions given by </w:t>
      </w:r>
      <m:oMath>
        <m:r>
          <m:rPr>
            <m:sty m:val="p"/>
          </m:rPr>
          <w:rPr>
            <w:rFonts w:ascii="Cambria Math" w:hAnsi="Cambria Math"/>
            <w:noProof/>
          </w:rPr>
          <m:t>{(</m:t>
        </m:r>
        <m:sSub>
          <m:sSubPr>
            <m:ctrlPr>
              <w:rPr>
                <w:rFonts w:ascii="Cambria Math" w:hAnsi="Cambria Math"/>
              </w:rPr>
            </m:ctrlPr>
          </m:sSubPr>
          <m:e>
            <m:r>
              <w:rPr>
                <w:rFonts w:ascii="Cambria Math" w:hAnsi="Cambria Math"/>
                <w:noProof/>
              </w:rPr>
              <m:t>i</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  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 xml:space="preserve"> are selected from </w:t>
      </w:r>
      <m:oMath>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elements according to </w:t>
      </w:r>
    </w:p>
    <w:p w:rsidR="00CA397B" w:rsidRPr="00E13523" w:rsidRDefault="00CA397B" w:rsidP="00CA397B">
      <w:pPr>
        <w:tabs>
          <w:tab w:val="center" w:pos="4800"/>
          <w:tab w:val="right" w:pos="9500"/>
        </w:tabs>
        <w:ind w:firstLine="720"/>
        <w:rPr>
          <w:noProof/>
        </w:rPr>
      </w:pPr>
      <w:r w:rsidRPr="00E13523">
        <w:rPr>
          <w:noProof/>
        </w:rPr>
        <w:tab/>
      </w:r>
      <m:oMath>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 xml:space="preserve">-1   </m:t>
        </m:r>
      </m:oMath>
      <w:r w:rsidRPr="00E13523">
        <w:rPr>
          <w:noProof/>
        </w:rPr>
        <w:t xml:space="preserve">for spatial layer </w:t>
      </w:r>
      <m:oMath>
        <m:r>
          <w:rPr>
            <w:rFonts w:ascii="Cambria Math" w:hAnsi="Cambria Math"/>
            <w:noProof/>
          </w:rPr>
          <m:t>r</m:t>
        </m:r>
      </m:oMath>
    </w:p>
    <w:p w:rsidR="00CA397B" w:rsidRPr="00E13523" w:rsidRDefault="00CA397B" w:rsidP="00CA397B">
      <w:pPr>
        <w:tabs>
          <w:tab w:val="center" w:pos="4800"/>
          <w:tab w:val="right" w:pos="9500"/>
        </w:tabs>
        <w:jc w:val="both"/>
        <w:rPr>
          <w:noProof/>
        </w:rPr>
      </w:pPr>
      <w:r w:rsidRPr="00E13523">
        <w:rPr>
          <w:noProof/>
        </w:rPr>
        <w:t>or</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d>
          <m:dPr>
            <m:begChr m:val="{"/>
            <m:endChr m:val="}"/>
            <m:ctrlPr>
              <w:rPr>
                <w:rFonts w:ascii="Cambria Math" w:hAnsi="Cambria Math"/>
                <w:noProof/>
              </w:rPr>
            </m:ctrlPr>
          </m:dPr>
          <m:e>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=1</m:t>
                </m:r>
              </m:sub>
              <m:sup>
                <m:r>
                  <w:rPr>
                    <w:rFonts w:ascii="Cambria Math" w:hAnsi="Cambria Math"/>
                    <w:noProof/>
                  </w:rPr>
                  <m:t>R</m:t>
                </m:r>
              </m:sup>
              <m:e>
                <m:r>
                  <m:rPr>
                    <m:sty m:val="p"/>
                  </m:rPr>
                  <w:rPr>
                    <w:rFonts w:ascii="Cambria Math" w:hAnsi="Cambria Math"/>
                    <w:noProof/>
                  </w:rPr>
                  <m:t>‍</m:t>
                </m:r>
              </m:e>
            </m:nary>
            <m:d>
              <m:dPr>
                <m:begChr m:val="|"/>
                <m:endChr m:val="|"/>
                <m:ctrlPr>
                  <w:rPr>
                    <w:rFonts w:ascii="Cambria Math" w:hAnsi="Cambria Math"/>
                    <w:noProof/>
                  </w:rPr>
                </m:ctrlPr>
              </m:dPr>
              <m:e>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=1</m:t>
                    </m:r>
                  </m:sub>
                  <m:sup>
                    <m:r>
                      <w:rPr>
                        <w:rFonts w:ascii="Cambria Math" w:hAnsi="Cambria Math"/>
                        <w:noProof/>
                      </w:rPr>
                      <m:t>R</m:t>
                    </m:r>
                  </m:sup>
                  <m:e>
                    <m:r>
                      <m:rPr>
                        <m:sty m:val="p"/>
                      </m:rPr>
                      <w:rPr>
                        <w:rFonts w:ascii="Cambria Math" w:hAnsi="Cambria Math"/>
                        <w:noProof/>
                      </w:rPr>
                      <m:t>‍</m:t>
                    </m:r>
                  </m:e>
                </m:nary>
              </m:e>
            </m:d>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e>
        </m:d>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oMath>
      <w:r w:rsidRPr="00E13523">
        <w:rPr>
          <w:noProof/>
        </w:rPr>
        <w:t xml:space="preserve"> for all</w:t>
      </w:r>
      <w:r>
        <w:rPr>
          <w:noProof/>
        </w:rPr>
        <w:t xml:space="preserve"> (or some) </w:t>
      </w:r>
      <w:r w:rsidRPr="00E13523">
        <w:rPr>
          <w:noProof/>
        </w:rPr>
        <w:t xml:space="preserve"> spatial layers,</w:t>
      </w:r>
    </w:p>
    <w:p w:rsidR="00CA397B" w:rsidRPr="00E13523" w:rsidRDefault="00CA397B" w:rsidP="00CA397B">
      <w:pPr>
        <w:tabs>
          <w:tab w:val="center" w:pos="4800"/>
          <w:tab w:val="right" w:pos="9500"/>
        </w:tabs>
        <w:jc w:val="both"/>
        <w:rPr>
          <w:noProof/>
        </w:rPr>
      </w:pPr>
      <w:r w:rsidRPr="00E13523">
        <w:rPr>
          <w:noProof/>
        </w:rPr>
        <w:t xml:space="preserve">Implicitly coefficients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at </w:t>
      </w:r>
      <m:oMath>
        <m:r>
          <m:rPr>
            <m:sty m:val="p"/>
          </m:rPr>
          <w:rPr>
            <w:rFonts w:ascii="Cambria Math" w:hAnsi="Cambria Math"/>
            <w:noProof/>
          </w:rPr>
          <m:t>{(</m:t>
        </m:r>
        <m:sSub>
          <m:sSubPr>
            <m:ctrlPr>
              <w:rPr>
                <w:rFonts w:ascii="Cambria Math" w:hAnsi="Cambria Math"/>
              </w:rPr>
            </m:ctrlPr>
          </m:sSubPr>
          <m:e>
            <m:r>
              <w:rPr>
                <w:rFonts w:ascii="Cambria Math" w:hAnsi="Cambria Math"/>
                <w:noProof/>
              </w:rPr>
              <m:t>i</m:t>
            </m:r>
          </m:e>
          <m:sub>
            <m:r>
              <w:rPr>
                <w:rFonts w:ascii="Cambria Math" w:hAnsi="Cambria Math"/>
                <w:noProof/>
              </w:rPr>
              <m:t>k</m:t>
            </m:r>
          </m:sub>
        </m:sSub>
        <m:r>
          <m:rPr>
            <m:sty m:val="p"/>
          </m:rPr>
          <w:rPr>
            <w:rFonts w:ascii="Cambria Math" w:hAnsi="Cambria Math"/>
            <w:noProof/>
          </w:rPr>
          <m:t>+</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  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 xml:space="preserve"> are also selected.</w:t>
      </w: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jc w:val="both"/>
        <w:rPr>
          <w:noProof/>
        </w:rPr>
      </w:pPr>
      <w:r w:rsidRPr="00E13523">
        <w:rPr>
          <w:noProof/>
        </w:rPr>
        <w:t xml:space="preserve">and the set of delay tap indices </w:t>
      </w:r>
      <m:oMath>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r>
          <m:rPr>
            <m:sty m:val="p"/>
          </m:rPr>
          <w:rPr>
            <w:rFonts w:ascii="Cambria Math" w:hAnsi="Cambria Math"/>
            <w:noProof/>
          </w:rPr>
          <m:t>,  ⋯,</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r>
          <m:rPr>
            <m:sty m:val="p"/>
          </m:rPr>
          <w:rPr>
            <w:rFonts w:ascii="Cambria Math" w:hAnsi="Cambria Math"/>
            <w:noProof/>
          </w:rPr>
          <m:t>}</m:t>
        </m:r>
      </m:oMath>
      <w:r w:rsidRPr="00E13523">
        <w:rPr>
          <w:noProof/>
        </w:rPr>
        <w:t xml:space="preserve"> is equal to the set </w:t>
      </w:r>
      <m:oMath>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/2-1}</m:t>
        </m:r>
      </m:oMath>
      <w:r w:rsidRPr="00E13523">
        <w:rPr>
          <w:noProof/>
        </w:rPr>
        <w:t xml:space="preserve">. </w:t>
      </w:r>
    </w:p>
    <w:p w:rsidR="00CA397B" w:rsidRDefault="004F11FB" w:rsidP="00CA397B">
      <w:pPr>
        <w:tabs>
          <w:tab w:val="center" w:pos="4800"/>
          <w:tab w:val="right" w:pos="9500"/>
        </w:tabs>
        <w:ind w:firstLine="720"/>
        <w:jc w:val="both"/>
        <w:rPr>
          <w:noProof/>
        </w:rPr>
      </w:pPr>
      <w:r>
        <w:rPr>
          <w:noProof/>
        </w:rPr>
        <w:t>The complete</w:t>
      </w:r>
      <w:r w:rsidR="0097785A">
        <w:rPr>
          <w:noProof/>
        </w:rPr>
        <w:t xml:space="preserve"> information concerning FD component selection can be derived from coefficient selection if coefficient selection is conducted over all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Pr>
          <w:noProof/>
        </w:rPr>
        <w:t xml:space="preserve"> FD components. However</w:t>
      </w:r>
      <w:r w:rsidR="0097785A">
        <w:rPr>
          <w:noProof/>
        </w:rPr>
        <w:t xml:space="preserve"> FD component selection </w:t>
      </w:r>
      <w:r>
        <w:rPr>
          <w:noProof/>
        </w:rPr>
        <w:t xml:space="preserve">can be </w:t>
      </w:r>
      <w:r w:rsidR="0097785A">
        <w:rPr>
          <w:noProof/>
        </w:rPr>
        <w:t xml:space="preserve">used to reduce the signaling overhead for coefficient selection as coefficient selection can be conducted over M FD components instead of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97785A">
        <w:rPr>
          <w:noProof/>
        </w:rPr>
        <w:t>FD components</w:t>
      </w:r>
      <w:r w:rsidR="0097785A" w:rsidRPr="0097785A">
        <w:rPr>
          <w:noProof/>
        </w:rPr>
        <w:t xml:space="preserve">. </w:t>
      </w:r>
      <w:r w:rsidR="00C74A9F" w:rsidRPr="0097785A">
        <w:rPr>
          <w:noProof/>
        </w:rPr>
        <w:t xml:space="preserve">A length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C74A9F" w:rsidRPr="0097785A">
        <w:rPr>
          <w:noProof/>
        </w:rPr>
        <w:t xml:space="preserve"> bitmap can be used to indicate the the FD component selection.</w:t>
      </w:r>
      <w:r w:rsidR="0097785A">
        <w:rPr>
          <w:b/>
          <w:noProof/>
        </w:rPr>
        <w:t xml:space="preserve">   </w:t>
      </w:r>
      <w:r w:rsidR="00B40FCC">
        <w:rPr>
          <w:noProof/>
        </w:rPr>
        <w:t xml:space="preserve">With realistic channel propagation, departing rays/paths may not align well with a  </w:t>
      </w:r>
    </w:p>
    <w:p w:rsidR="00015B52" w:rsidRPr="00015B52" w:rsidRDefault="00015B52" w:rsidP="00CA397B">
      <w:pPr>
        <w:tabs>
          <w:tab w:val="center" w:pos="4800"/>
          <w:tab w:val="right" w:pos="9500"/>
        </w:tabs>
        <w:ind w:firstLine="720"/>
        <w:jc w:val="both"/>
        <w:rPr>
          <w:b/>
          <w:noProof/>
        </w:rPr>
      </w:pPr>
      <w:r w:rsidRPr="00015B52">
        <w:rPr>
          <w:b/>
          <w:noProof/>
        </w:rPr>
        <w:t xml:space="preserve">Proposal </w:t>
      </w:r>
      <w:r w:rsidR="007360CB">
        <w:rPr>
          <w:b/>
          <w:noProof/>
        </w:rPr>
        <w:t>1: F</w:t>
      </w:r>
      <w:r w:rsidRPr="00015B52">
        <w:rPr>
          <w:b/>
          <w:noProof/>
        </w:rPr>
        <w:t xml:space="preserve">D component selection </w:t>
      </w:r>
      <w:r w:rsidR="009C65DF">
        <w:rPr>
          <w:b/>
          <w:noProof/>
        </w:rPr>
        <w:t>is common for spatial layers</w:t>
      </w:r>
      <w:r w:rsidRPr="00015B52">
        <w:rPr>
          <w:b/>
          <w:noProof/>
        </w:rPr>
        <w:t>.</w:t>
      </w:r>
    </w:p>
    <w:p w:rsidR="00CA397B" w:rsidRPr="00E13523" w:rsidRDefault="00CA397B" w:rsidP="00CA397B">
      <w:pPr>
        <w:tabs>
          <w:tab w:val="center" w:pos="4800"/>
          <w:tab w:val="right" w:pos="9500"/>
        </w:tabs>
        <w:ind w:firstLine="720"/>
        <w:jc w:val="both"/>
        <w:rPr>
          <w:noProof/>
        </w:rPr>
      </w:pPr>
    </w:p>
    <w:p w:rsidR="00CA397B" w:rsidRDefault="00CA397B" w:rsidP="00B44A0F">
      <w:pPr>
        <w:pStyle w:val="Heading2"/>
        <w:rPr>
          <w:noProof/>
        </w:rPr>
      </w:pPr>
      <w:r w:rsidRPr="00E13523">
        <w:rPr>
          <w:noProof/>
        </w:rPr>
        <w:t xml:space="preserve">  </w:t>
      </w:r>
      <w:bookmarkStart w:id="5" w:name="_Toc1144402"/>
      <w:r w:rsidRPr="00E13523">
        <w:rPr>
          <w:noProof/>
        </w:rPr>
        <w:t xml:space="preserve">Coefficient </w:t>
      </w:r>
      <w:r w:rsidR="00B40FCC">
        <w:rPr>
          <w:noProof/>
        </w:rPr>
        <w:t xml:space="preserve">subsect </w:t>
      </w:r>
      <w:r w:rsidRPr="00E13523">
        <w:rPr>
          <w:noProof/>
        </w:rPr>
        <w:t>selection</w:t>
      </w:r>
      <w:bookmarkEnd w:id="5"/>
    </w:p>
    <w:p w:rsidR="00CA397B" w:rsidRPr="00E13523" w:rsidRDefault="00CA397B" w:rsidP="00CA397B">
      <w:pPr>
        <w:tabs>
          <w:tab w:val="center" w:pos="4800"/>
          <w:tab w:val="right" w:pos="9500"/>
        </w:tabs>
        <w:ind w:firstLine="720"/>
        <w:jc w:val="both"/>
        <w:rPr>
          <w:noProof/>
        </w:rPr>
      </w:pPr>
      <w:r w:rsidRPr="00E13523">
        <w:rPr>
          <w:noProof/>
        </w:rPr>
        <w:t xml:space="preserve">Within the </w:t>
      </w:r>
      <m:oMath>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M</m:t>
        </m:r>
      </m:oMath>
      <w:r w:rsidRPr="00E13523">
        <w:rPr>
          <w:noProof/>
        </w:rPr>
        <w:t xml:space="preserve"> elements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coefficient selection is applided. For spatial beam </w:t>
      </w:r>
      <m:oMath>
        <m:r>
          <w:rPr>
            <w:rFonts w:ascii="Cambria Math" w:hAnsi="Cambria Math"/>
            <w:noProof/>
          </w:rPr>
          <m:t>i</m:t>
        </m:r>
      </m:oMath>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m:t>
        </m:r>
      </m:oMath>
      <w:r w:rsidRPr="00E13523">
        <w:rPr>
          <w:noProof/>
        </w:rPr>
        <w:t xml:space="preserve">,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oMath>
      <w:r w:rsidRPr="00E13523">
        <w:rPr>
          <w:noProof/>
        </w:rPr>
        <w:t xml:space="preserve"> coefficients from the selected </w:t>
      </w:r>
      <m:oMath>
        <m:r>
          <w:rPr>
            <w:rFonts w:ascii="Cambria Math" w:hAnsi="Cambria Math"/>
            <w:noProof/>
          </w:rPr>
          <m:t>M</m:t>
        </m:r>
      </m:oMath>
      <w:r w:rsidRPr="00E13523">
        <w:rPr>
          <w:noProof/>
        </w:rPr>
        <w:t xml:space="preserve"> FD components/delay taps are chosen (alternately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oMath>
      <w:r w:rsidRPr="00E13523">
        <w:rPr>
          <w:noProof/>
        </w:rPr>
        <w:t xml:space="preserve"> coefficients can be directly chosen from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FD components).</w:t>
      </w:r>
    </w:p>
    <w:p w:rsidR="00CA397B" w:rsidRPr="00E13523" w:rsidRDefault="008B6F9C" w:rsidP="00CA397B">
      <w:pPr>
        <w:tabs>
          <w:tab w:val="center" w:pos="4800"/>
          <w:tab w:val="right" w:pos="9500"/>
        </w:tabs>
        <w:ind w:firstLine="720"/>
        <w:jc w:val="both"/>
        <w:rPr>
          <w:noProof/>
        </w:rPr>
      </w:pP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00CA397B" w:rsidRPr="00E13523">
        <w:rPr>
          <w:noProof/>
        </w:rPr>
        <w:t xml:space="preserve"> is composed from </w:t>
      </w:r>
      <m:oMath>
        <m:r>
          <w:rPr>
            <w:rFonts w:ascii="Cambria Math" w:hAnsi="Cambria Math"/>
            <w:noProof/>
          </w:rPr>
          <m:t>K</m:t>
        </m:r>
      </m:oMath>
      <w:r w:rsidR="00CA397B" w:rsidRPr="00E13523">
        <w:rPr>
          <w:noProof/>
        </w:rPr>
        <w:t xml:space="preserve"> non-zero coefficients </w:t>
      </w:r>
      <m:oMath>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oMath>
      <w:r w:rsidR="00CA397B" w:rsidRPr="00E13523">
        <w:rPr>
          <w:noProof/>
        </w:rPr>
        <w:t xml:space="preserve"> at positions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  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-1}</m:t>
        </m:r>
      </m:oMath>
      <w:r w:rsidR="00CA397B" w:rsidRPr="00E13523">
        <w:rPr>
          <w:noProof/>
        </w:rPr>
        <w:t xml:space="preserve">, </w:t>
      </w:r>
      <m:oMath>
        <m:r>
          <w:rPr>
            <w:rFonts w:ascii="Cambria Math" w:hAnsi="Cambria Math"/>
            <w:noProof/>
          </w:rPr>
          <m:t>K</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m:t>
            </m:r>
            <m:r>
              <m:rPr>
                <m:sty m:val="p"/>
              </m:rPr>
              <w:rPr>
                <w:rFonts w:ascii="Cambria Math" w:hAnsi="Cambria Math"/>
                <w:noProof/>
              </w:rPr>
              <m:t>=0</m:t>
            </m:r>
          </m:sub>
          <m:sup>
            <m:r>
              <m:rPr>
                <m:sty m:val="p"/>
              </m:rPr>
              <w:rPr>
                <w:rFonts w:ascii="Cambria Math" w:hAnsi="Cambria Math"/>
                <w:noProof/>
              </w:rPr>
              <m:t>2</m:t>
            </m:r>
            <m:r>
              <w:rPr>
                <w:rFonts w:ascii="Cambria Math" w:hAnsi="Cambria Math"/>
                <w:noProof/>
              </w:rPr>
              <m:t>L</m:t>
            </m:r>
            <m:r>
              <m:rPr>
                <m:sty m:val="p"/>
              </m:rPr>
              <w:rPr>
                <w:rFonts w:ascii="Cambria Math" w:hAnsi="Cambria Math"/>
                <w:noProof/>
              </w:rPr>
              <m:t>-1</m:t>
            </m:r>
          </m:sup>
          <m:e>
            <m:r>
              <m:rPr>
                <m:sty m:val="p"/>
              </m:rPr>
              <w:rPr>
                <w:rFonts w:ascii="Cambria Math" w:hAnsi="Cambria Math"/>
                <w:noProof/>
              </w:rPr>
              <m:t>‍</m:t>
            </m:r>
          </m:e>
        </m:nary>
        <m:sSub>
          <m:sSubPr>
            <m:ctrlPr>
              <w:rPr>
                <w:rFonts w:ascii="Cambria Math" w:hAnsi="Cambria Math"/>
              </w:rPr>
            </m:ctrlPr>
          </m:sSubPr>
          <m:e>
            <m:r>
              <w:rPr>
                <w:rFonts w:ascii="Cambria Math" w:hAnsi="Cambria Math"/>
                <w:noProof/>
              </w:rPr>
              <m:t>M</m:t>
            </m:r>
          </m:e>
          <m:sub>
            <m:r>
              <w:rPr>
                <w:rFonts w:ascii="Cambria Math" w:hAnsi="Cambria Math"/>
                <w:noProof/>
              </w:rPr>
              <m:t>i</m:t>
            </m:r>
          </m:sub>
        </m:sSub>
      </m:oMath>
      <w:r w:rsidR="00CA397B" w:rsidRPr="00E13523">
        <w:rPr>
          <w:noProof/>
        </w:rPr>
        <w:t>.</w:t>
      </w:r>
    </w:p>
    <w:p w:rsidR="00CA397B" w:rsidRPr="00E13523" w:rsidRDefault="00CA397B" w:rsidP="00CA397B">
      <w:pPr>
        <w:tabs>
          <w:tab w:val="center" w:pos="4800"/>
          <w:tab w:val="right" w:pos="9500"/>
        </w:tabs>
        <w:ind w:firstLine="720"/>
        <w:jc w:val="both"/>
        <w:rPr>
          <w:noProof/>
        </w:rPr>
      </w:pPr>
      <w:r w:rsidRPr="00E13523">
        <w:rPr>
          <w:noProof/>
        </w:rPr>
        <w:t xml:space="preserve">Let </w:t>
      </w:r>
    </w:p>
    <w:p w:rsidR="00CA397B" w:rsidRPr="00E13523" w:rsidRDefault="00CA397B" w:rsidP="00CA397B">
      <w:pPr>
        <w:tabs>
          <w:tab w:val="center" w:pos="4800"/>
          <w:tab w:val="right" w:pos="9500"/>
        </w:tabs>
        <w:ind w:firstLine="720"/>
        <w:rPr>
          <w:noProof/>
        </w:rPr>
      </w:pPr>
      <w:r w:rsidRPr="00E13523">
        <w:rPr>
          <w:noProof/>
        </w:rPr>
        <w:tab/>
      </w:r>
      <m:oMath>
        <m:r>
          <w:rPr>
            <w:rFonts w:ascii="Cambria Math" w:hAnsi="Cambria Math"/>
            <w:noProof/>
          </w:rPr>
          <m:t>P</m:t>
        </m:r>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  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-1}</m:t>
        </m:r>
      </m:oMath>
    </w:p>
    <w:p w:rsidR="00CA397B" w:rsidRPr="00E13523" w:rsidRDefault="00CA397B" w:rsidP="00CA397B">
      <w:pPr>
        <w:tabs>
          <w:tab w:val="center" w:pos="4800"/>
          <w:tab w:val="right" w:pos="9500"/>
        </w:tabs>
        <w:jc w:val="both"/>
        <w:rPr>
          <w:noProof/>
        </w:rPr>
      </w:pPr>
      <w:r w:rsidRPr="00E13523">
        <w:rPr>
          <w:noProof/>
        </w:rPr>
        <w:t>We consider a number of coefficient selection schemes:</w:t>
      </w:r>
    </w:p>
    <w:p w:rsidR="00CA397B" w:rsidRPr="00E13523" w:rsidRDefault="00CA397B" w:rsidP="004F11FB">
      <w:pPr>
        <w:tabs>
          <w:tab w:val="center" w:pos="4800"/>
          <w:tab w:val="right" w:pos="9500"/>
        </w:tabs>
        <w:jc w:val="both"/>
        <w:rPr>
          <w:noProof/>
        </w:rPr>
      </w:pPr>
      <w:r w:rsidRPr="00E13523">
        <w:rPr>
          <w:noProof/>
        </w:rPr>
        <w:t xml:space="preserve">  - </w:t>
      </w:r>
      <w:r w:rsidRPr="00E13523">
        <w:rPr>
          <w:b/>
          <w:bCs/>
          <w:noProof/>
        </w:rPr>
        <w:t>Coefficent Selection Scheme 1</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coefficients are selected independently for spatial layers and polarizations;</w:t>
      </w:r>
    </w:p>
    <w:p w:rsidR="00CA397B" w:rsidRPr="00E13523" w:rsidRDefault="00CA397B" w:rsidP="004F11FB">
      <w:pPr>
        <w:tabs>
          <w:tab w:val="center" w:pos="4800"/>
          <w:tab w:val="right" w:pos="9500"/>
        </w:tabs>
        <w:rPr>
          <w:noProof/>
        </w:rPr>
      </w:pPr>
      <w:r w:rsidRPr="00E13523">
        <w:rPr>
          <w:noProof/>
        </w:rPr>
        <w:t xml:space="preserve"> - </w:t>
      </w:r>
      <w:r w:rsidRPr="00E13523">
        <w:rPr>
          <w:b/>
          <w:bCs/>
          <w:noProof/>
        </w:rPr>
        <w:t>Coefficent Selection Scheme 2</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 xml:space="preserve">coefficients selection is common across spatial layers; i.e. the sam set </w:t>
      </w:r>
      <m:oMath>
        <m:r>
          <w:rPr>
            <w:rFonts w:ascii="Cambria Math" w:hAnsi="Cambria Math"/>
            <w:noProof/>
          </w:rPr>
          <m:t>P</m:t>
        </m:r>
      </m:oMath>
      <w:r w:rsidRPr="00E13523">
        <w:rPr>
          <w:noProof/>
        </w:rPr>
        <w:t xml:space="preserve"> is used for all spatial layers;</w:t>
      </w:r>
    </w:p>
    <w:p w:rsidR="00CA397B" w:rsidRPr="00E13523" w:rsidRDefault="00CA397B" w:rsidP="004F11FB">
      <w:pPr>
        <w:tabs>
          <w:tab w:val="center" w:pos="4800"/>
          <w:tab w:val="right" w:pos="9500"/>
        </w:tabs>
        <w:rPr>
          <w:noProof/>
        </w:rPr>
      </w:pPr>
      <w:r w:rsidRPr="00E13523">
        <w:rPr>
          <w:noProof/>
        </w:rPr>
        <w:t xml:space="preserve"> - </w:t>
      </w:r>
      <w:r w:rsidRPr="00E13523">
        <w:rPr>
          <w:b/>
          <w:bCs/>
          <w:noProof/>
        </w:rPr>
        <w:t>Coefficent Selection Scheme 3</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 xml:space="preserve">coefficients selection is </w:t>
      </w:r>
      <w:r w:rsidR="00ED0ED0">
        <w:rPr>
          <w:noProof/>
        </w:rPr>
        <w:t>common for spatial layers and</w:t>
      </w:r>
      <w:r w:rsidRPr="00E13523">
        <w:rPr>
          <w:noProof/>
        </w:rPr>
        <w:t xml:space="preserve"> polarizations. In this case</w:t>
      </w:r>
      <w:r w:rsidR="00ED0ED0">
        <w:rPr>
          <w:noProof/>
        </w:rPr>
        <w:t>,</w:t>
      </w:r>
      <w:r w:rsidRPr="00E13523">
        <w:rPr>
          <w:noProof/>
        </w:rPr>
        <w:t xml:space="preserve"> first the sam set </w:t>
      </w:r>
      <m:oMath>
        <m:r>
          <w:rPr>
            <w:rFonts w:ascii="Cambria Math" w:hAnsi="Cambria Math"/>
            <w:noProof/>
          </w:rPr>
          <m:t>P</m:t>
        </m:r>
      </m:oMath>
      <w:r w:rsidRPr="00E13523">
        <w:rPr>
          <w:noProof/>
        </w:rPr>
        <w:t xml:space="preserve"> is used for all spatial layers; second if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m:t>
        </m:r>
      </m:oMath>
      <w:r w:rsidRPr="00E13523">
        <w:rPr>
          <w:noProof/>
        </w:rPr>
        <w:t xml:space="preserve">, then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oMath>
      <w:r w:rsidRPr="00E13523">
        <w:rPr>
          <w:noProof/>
        </w:rPr>
        <w:t>.</w:t>
      </w:r>
    </w:p>
    <w:p w:rsidR="00CA397B" w:rsidRPr="00E13523" w:rsidRDefault="00CA397B" w:rsidP="004F11FB">
      <w:pPr>
        <w:tabs>
          <w:tab w:val="center" w:pos="4800"/>
          <w:tab w:val="right" w:pos="9500"/>
        </w:tabs>
        <w:rPr>
          <w:noProof/>
        </w:rPr>
      </w:pPr>
      <w:r w:rsidRPr="00E13523">
        <w:rPr>
          <w:noProof/>
        </w:rPr>
        <w:t xml:space="preserve">  - </w:t>
      </w:r>
      <w:r w:rsidRPr="00E13523">
        <w:rPr>
          <w:b/>
          <w:bCs/>
          <w:noProof/>
        </w:rPr>
        <w:t>Coefficent Selection Scheme 4</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 xml:space="preserve">coefficients selection is common for polarizations. In this case, if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m:t>
        </m:r>
      </m:oMath>
      <w:r w:rsidRPr="00E13523">
        <w:rPr>
          <w:noProof/>
        </w:rPr>
        <w:t xml:space="preserve">, then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oMath>
      <w:r w:rsidRPr="00E13523">
        <w:rPr>
          <w:noProof/>
        </w:rPr>
        <w:t>.</w:t>
      </w:r>
    </w:p>
    <w:p w:rsidR="00CA397B"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p>
    <w:p w:rsidR="00CA397B" w:rsidRDefault="00C74A9F" w:rsidP="00CA397B">
      <w:pPr>
        <w:tabs>
          <w:tab w:val="center" w:pos="4800"/>
          <w:tab w:val="right" w:pos="9500"/>
        </w:tabs>
        <w:jc w:val="both"/>
        <w:rPr>
          <w:noProof/>
        </w:rPr>
      </w:pPr>
      <w:r>
        <w:rPr>
          <w:noProof/>
        </w:rPr>
        <w:t>From the evaluation we have conducted</w:t>
      </w:r>
      <w:r w:rsidR="00ED0ED0">
        <w:rPr>
          <w:noProof/>
        </w:rPr>
        <w:t xml:space="preserve"> on the 4 coefficient selection schemes</w:t>
      </w:r>
      <w:r>
        <w:rPr>
          <w:noProof/>
        </w:rPr>
        <w:t>, concerning the altenatives below:</w:t>
      </w:r>
    </w:p>
    <w:p w:rsidR="00C74A9F" w:rsidRPr="005C7EF7" w:rsidRDefault="00C74A9F" w:rsidP="00C74A9F">
      <w:pPr>
        <w:jc w:val="both"/>
        <w:rPr>
          <w:szCs w:val="28"/>
          <w:highlight w:val="green"/>
        </w:rPr>
      </w:pPr>
      <w:r w:rsidRPr="005C7EF7">
        <w:rPr>
          <w:b/>
          <w:szCs w:val="28"/>
          <w:highlight w:val="green"/>
        </w:rPr>
        <w:t>Agreement</w:t>
      </w:r>
      <w:r w:rsidRPr="005C7EF7">
        <w:rPr>
          <w:szCs w:val="28"/>
          <w:highlight w:val="green"/>
        </w:rPr>
        <w:t xml:space="preserve">: </w:t>
      </w:r>
    </w:p>
    <w:p w:rsidR="00C74A9F" w:rsidRPr="003B7873" w:rsidRDefault="00C74A9F" w:rsidP="00C74A9F">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9" type="#_x0000_t75" style="width:14.25pt;height:21.05pt" o:ole="">
            <v:imagedata r:id="rId8" o:title=""/>
          </v:shape>
          <o:OLEObject Type="Embed" ProgID="Equation.DSMT4" ShapeID="_x0000_i1029" DrawAspect="Content" ObjectID="_1611764088" r:id="rId14"/>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C74A9F" w:rsidRPr="003B7873" w:rsidRDefault="00C74A9F" w:rsidP="00C74A9F">
      <w:pPr>
        <w:pStyle w:val="ListParagraph"/>
        <w:numPr>
          <w:ilvl w:val="0"/>
          <w:numId w:val="19"/>
        </w:numPr>
        <w:spacing w:after="0"/>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0" type="#_x0000_t75" style="width:14.25pt;height:21.05pt" o:ole="">
            <v:imagedata r:id="rId8" o:title=""/>
          </v:shape>
          <o:OLEObject Type="Embed" ProgID="Equation.DSMT4" ShapeID="_x0000_i1030" DrawAspect="Content" ObjectID="_1611764089" r:id="rId15"/>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rsidR="00C74A9F" w:rsidRPr="003B7873" w:rsidRDefault="00C74A9F" w:rsidP="00C74A9F">
      <w:pPr>
        <w:pStyle w:val="ListParagraph"/>
        <w:numPr>
          <w:ilvl w:val="0"/>
          <w:numId w:val="19"/>
        </w:numPr>
        <w:spacing w:after="0"/>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1" type="#_x0000_t75" style="width:14.25pt;height:21.05pt" o:ole="">
            <v:imagedata r:id="rId8" o:title=""/>
          </v:shape>
          <o:OLEObject Type="Embed" ProgID="Equation.DSMT4" ShapeID="_x0000_i1031" DrawAspect="Content" ObjectID="_1611764090" r:id="rId16"/>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rsidR="00C74A9F" w:rsidRPr="003B7873" w:rsidRDefault="00C74A9F" w:rsidP="00C74A9F">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v:shape id="_x0000_i1032" type="#_x0000_t75" style="width:14.25pt;height:21.05pt" o:ole="">
            <v:imagedata r:id="rId12" o:title=""/>
          </v:shape>
          <o:OLEObject Type="Embed" ProgID="Equation.DSMT4" ShapeID="_x0000_i1032" DrawAspect="Content" ObjectID="_1611764091" r:id="rId17"/>
        </w:object>
      </w:r>
      <w:r w:rsidRPr="003B7873">
        <w:rPr>
          <w:rFonts w:cs="Times New Roman"/>
          <w:iCs/>
          <w:szCs w:val="28"/>
        </w:rPr>
        <w:fldChar w:fldCharType="end"/>
      </w:r>
      <w:r w:rsidRPr="003B7873">
        <w:rPr>
          <w:rFonts w:cs="Times New Roman"/>
          <w:iCs/>
          <w:szCs w:val="28"/>
        </w:rPr>
        <w:t xml:space="preserve"> quantization for evaluation purposes.</w:t>
      </w:r>
    </w:p>
    <w:p w:rsidR="00C74A9F" w:rsidRDefault="00C74A9F" w:rsidP="00CA397B">
      <w:pPr>
        <w:tabs>
          <w:tab w:val="center" w:pos="4800"/>
          <w:tab w:val="right" w:pos="9500"/>
        </w:tabs>
        <w:jc w:val="both"/>
        <w:rPr>
          <w:noProof/>
          <w:lang w:val="en-US"/>
        </w:rPr>
      </w:pPr>
    </w:p>
    <w:p w:rsidR="00C74A9F" w:rsidRDefault="00C74A9F" w:rsidP="00CA397B">
      <w:pPr>
        <w:tabs>
          <w:tab w:val="center" w:pos="4800"/>
          <w:tab w:val="right" w:pos="9500"/>
        </w:tabs>
        <w:jc w:val="both"/>
        <w:rPr>
          <w:szCs w:val="28"/>
        </w:rPr>
      </w:pPr>
      <w:r>
        <w:rPr>
          <w:noProof/>
          <w:lang w:val="en-US"/>
        </w:rPr>
        <w:t xml:space="preserve">We support Alt. 1, i.e. </w:t>
      </w:r>
      <w:r w:rsidRPr="003B7873">
        <w:rPr>
          <w:szCs w:val="28"/>
        </w:rPr>
        <w:t>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3" type="#_x0000_t75" style="width:14.25pt;height:21.05pt" o:ole="">
            <v:imagedata r:id="rId8" o:title=""/>
          </v:shape>
          <o:OLEObject Type="Embed" ProgID="Equation.DSMT4" ShapeID="_x0000_i1033" DrawAspect="Content" ObjectID="_1611764092" r:id="rId18"/>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We have</w:t>
      </w:r>
    </w:p>
    <w:p w:rsidR="00C74A9F" w:rsidRPr="00C74A9F" w:rsidRDefault="00C74A9F" w:rsidP="00CA397B">
      <w:pPr>
        <w:tabs>
          <w:tab w:val="center" w:pos="4800"/>
          <w:tab w:val="right" w:pos="9500"/>
        </w:tabs>
        <w:jc w:val="both"/>
        <w:rPr>
          <w:b/>
          <w:noProof/>
          <w:lang w:val="en-US"/>
        </w:rPr>
      </w:pPr>
      <w:r w:rsidRPr="00C74A9F">
        <w:rPr>
          <w:b/>
          <w:szCs w:val="28"/>
        </w:rPr>
        <w:t xml:space="preserve">Proposal </w:t>
      </w:r>
      <w:r w:rsidR="007360CB">
        <w:rPr>
          <w:b/>
          <w:szCs w:val="28"/>
        </w:rPr>
        <w:t>2</w:t>
      </w:r>
      <w:r w:rsidRPr="00C74A9F">
        <w:rPr>
          <w:b/>
          <w:szCs w:val="28"/>
        </w:rPr>
        <w:t>-1: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4" type="#_x0000_t75" style="width:14.25pt;height:21.05pt" o:ole="">
            <v:imagedata r:id="rId8" o:title=""/>
          </v:shape>
          <o:OLEObject Type="Embed" ProgID="Equation.DSMT4" ShapeID="_x0000_i1034" DrawAspect="Content" ObjectID="_1611764093" r:id="rId19"/>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sidR="00FD4A82">
        <w:rPr>
          <w:b/>
          <w:szCs w:val="28"/>
        </w:rPr>
        <w:t xml:space="preserve">; coefficient selection </w:t>
      </w:r>
      <w:r w:rsidR="00FD4A82" w:rsidRPr="00C74A9F">
        <w:rPr>
          <w:b/>
          <w:szCs w:val="28"/>
        </w:rPr>
        <w:t>for the 1</w:t>
      </w:r>
      <w:r w:rsidR="00FD4A82" w:rsidRPr="00C74A9F">
        <w:rPr>
          <w:b/>
          <w:szCs w:val="28"/>
          <w:vertAlign w:val="superscript"/>
        </w:rPr>
        <w:t>st</w:t>
      </w:r>
      <w:r w:rsidR="00FD4A82" w:rsidRPr="00C74A9F">
        <w:rPr>
          <w:b/>
          <w:szCs w:val="28"/>
        </w:rPr>
        <w:t xml:space="preserve"> </w:t>
      </w:r>
      <w:r w:rsidR="00FD4A82">
        <w:rPr>
          <w:b/>
          <w:szCs w:val="28"/>
        </w:rPr>
        <w:t xml:space="preserve">layer </w:t>
      </w:r>
      <w:r w:rsidR="00FD4A82" w:rsidRPr="00C74A9F">
        <w:rPr>
          <w:b/>
          <w:szCs w:val="28"/>
        </w:rPr>
        <w:t>is the same as that for the 2</w:t>
      </w:r>
      <w:r w:rsidR="00FD4A82" w:rsidRPr="00C74A9F">
        <w:rPr>
          <w:b/>
          <w:szCs w:val="28"/>
          <w:vertAlign w:val="superscript"/>
        </w:rPr>
        <w:t>nd</w:t>
      </w:r>
      <w:r w:rsidR="00FD4A82" w:rsidRPr="00C74A9F">
        <w:rPr>
          <w:b/>
          <w:szCs w:val="28"/>
        </w:rPr>
        <w:t xml:space="preserve"> layer</w:t>
      </w:r>
    </w:p>
    <w:p w:rsidR="00CA397B" w:rsidRPr="00E13523" w:rsidRDefault="00C74A9F" w:rsidP="00C74A9F">
      <w:pPr>
        <w:tabs>
          <w:tab w:val="center" w:pos="4800"/>
          <w:tab w:val="right" w:pos="9500"/>
        </w:tabs>
        <w:rPr>
          <w:noProof/>
        </w:rPr>
      </w:pPr>
      <w:r>
        <w:rPr>
          <w:noProof/>
        </w:rPr>
        <w:t xml:space="preserve">With </w:t>
      </w:r>
      <w:r w:rsidR="00CA397B" w:rsidRPr="00E13523">
        <w:rPr>
          <w:noProof/>
        </w:rPr>
        <w:t xml:space="preserve">common selection is applied across polarizations, </w:t>
      </w:r>
      <w:r>
        <w:rPr>
          <w:noProof/>
        </w:rPr>
        <w:t xml:space="preserve"> a </w:t>
      </w:r>
      <w:r w:rsidRPr="00E13523">
        <w:rPr>
          <w:noProof/>
        </w:rPr>
        <w:t xml:space="preserve">bitmap for all the </w:t>
      </w:r>
      <m:oMath>
        <m:r>
          <w:rPr>
            <w:rFonts w:ascii="Cambria Math" w:hAnsi="Cambria Math"/>
            <w:noProof/>
          </w:rPr>
          <m:t>L</m:t>
        </m:r>
        <m:r>
          <m:rPr>
            <m:sty m:val="p"/>
          </m:rPr>
          <w:rPr>
            <w:rFonts w:ascii="Cambria Math" w:hAnsi="Cambria Math"/>
            <w:noProof/>
          </w:rPr>
          <m:t>×</m:t>
        </m:r>
        <m:r>
          <w:rPr>
            <w:rFonts w:ascii="Cambria Math" w:hAnsi="Cambria Math"/>
            <w:noProof/>
          </w:rPr>
          <m:t>M</m:t>
        </m:r>
      </m:oMath>
      <w:r>
        <w:rPr>
          <w:noProof/>
        </w:rPr>
        <w:t xml:space="preserve"> entries is enough to indicate P.</w:t>
      </w:r>
    </w:p>
    <w:p w:rsidR="00CA397B" w:rsidRDefault="00C74A9F" w:rsidP="00C74A9F">
      <w:pPr>
        <w:tabs>
          <w:tab w:val="center" w:pos="4800"/>
          <w:tab w:val="right" w:pos="9500"/>
        </w:tabs>
        <w:ind w:firstLine="720"/>
        <w:rPr>
          <w:noProof/>
        </w:rPr>
      </w:pPr>
      <w:r>
        <w:rPr>
          <w:noProof/>
        </w:rPr>
        <w:t>We have</w:t>
      </w:r>
    </w:p>
    <w:p w:rsidR="006C7305" w:rsidRDefault="00C74A9F" w:rsidP="006C7305">
      <w:pPr>
        <w:tabs>
          <w:tab w:val="center" w:pos="4800"/>
          <w:tab w:val="right" w:pos="9500"/>
        </w:tabs>
        <w:rPr>
          <w:b/>
          <w:noProof/>
        </w:rPr>
      </w:pPr>
      <w:r w:rsidRPr="00C74A9F">
        <w:rPr>
          <w:b/>
          <w:noProof/>
        </w:rPr>
        <w:t xml:space="preserve">Proposal </w:t>
      </w:r>
      <w:r w:rsidR="007360CB">
        <w:rPr>
          <w:b/>
          <w:noProof/>
        </w:rPr>
        <w:t>2</w:t>
      </w:r>
      <w:r>
        <w:rPr>
          <w:b/>
          <w:noProof/>
        </w:rPr>
        <w:t>-2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6C7305" w:rsidRDefault="006C7305" w:rsidP="006C7305">
      <w:pPr>
        <w:tabs>
          <w:tab w:val="center" w:pos="4800"/>
          <w:tab w:val="right" w:pos="9500"/>
        </w:tabs>
        <w:jc w:val="both"/>
        <w:rPr>
          <w:noProof/>
        </w:rPr>
      </w:pPr>
    </w:p>
    <w:p w:rsidR="006C7305" w:rsidRPr="00E13523" w:rsidRDefault="006C7305" w:rsidP="006C7305">
      <w:pPr>
        <w:tabs>
          <w:tab w:val="center" w:pos="4800"/>
          <w:tab w:val="right" w:pos="9500"/>
        </w:tabs>
        <w:jc w:val="both"/>
        <w:rPr>
          <w:noProof/>
        </w:rPr>
      </w:pPr>
      <w:r>
        <w:rPr>
          <w:noProof/>
        </w:rPr>
        <w:t>Additional discussions for coefficient selection can be found in the next section.</w:t>
      </w:r>
    </w:p>
    <w:p w:rsidR="006C7305" w:rsidRDefault="006C7305" w:rsidP="006C7305">
      <w:pPr>
        <w:tabs>
          <w:tab w:val="center" w:pos="4800"/>
          <w:tab w:val="right" w:pos="9500"/>
        </w:tabs>
        <w:rPr>
          <w:b/>
          <w:noProof/>
        </w:rPr>
      </w:pPr>
    </w:p>
    <w:p w:rsidR="004B42A1" w:rsidRDefault="00CA397B" w:rsidP="00B44A0F">
      <w:pPr>
        <w:tabs>
          <w:tab w:val="center" w:pos="4800"/>
          <w:tab w:val="right" w:pos="9500"/>
        </w:tabs>
      </w:pPr>
      <w:r w:rsidRPr="00E13523">
        <w:rPr>
          <w:noProof/>
        </w:rPr>
        <w:t xml:space="preserve"> </w:t>
      </w:r>
      <w:r w:rsidR="009E2DD9">
        <w:t xml:space="preserve">FD component selection and </w:t>
      </w:r>
      <w:r w:rsidR="004B42A1">
        <w:t>coefficient selection</w:t>
      </w:r>
    </w:p>
    <w:p w:rsidR="00CA397B" w:rsidRPr="004B42A1" w:rsidRDefault="00CA397B" w:rsidP="00CA397B">
      <w:pPr>
        <w:pStyle w:val="BodyText"/>
        <w:rPr>
          <w:iCs/>
          <w:lang w:val="en-GB"/>
        </w:rPr>
      </w:pPr>
    </w:p>
    <w:p w:rsidR="00CA397B" w:rsidRPr="00E13523" w:rsidRDefault="00CA397B" w:rsidP="00CA397B">
      <w:pPr>
        <w:pStyle w:val="BodyText"/>
        <w:keepNext/>
      </w:pPr>
      <w:r w:rsidRPr="00E13523">
        <w:rPr>
          <w:lang w:val="sv-SE" w:eastAsia="ja-JP"/>
        </w:rPr>
        <w:object w:dxaOrig="13546" w:dyaOrig="8671">
          <v:shape id="_x0000_i1035" type="#_x0000_t75" style="width:482.25pt;height:301.6pt" o:ole="">
            <v:imagedata r:id="rId20" o:title=""/>
          </v:shape>
          <o:OLEObject Type="Embed" ProgID="Visio.Drawing.15" ShapeID="_x0000_i1035" DrawAspect="Content" ObjectID="_1611764094" r:id="rId21"/>
        </w:object>
      </w:r>
    </w:p>
    <w:p w:rsidR="00CA397B" w:rsidRPr="00E13523" w:rsidRDefault="00CA397B" w:rsidP="00CA397B">
      <w:pPr>
        <w:pStyle w:val="Caption"/>
        <w:jc w:val="both"/>
        <w:rPr>
          <w:sz w:val="24"/>
          <w:szCs w:val="24"/>
        </w:rPr>
      </w:pPr>
      <w:r w:rsidRPr="00E13523">
        <w:rPr>
          <w:sz w:val="24"/>
          <w:szCs w:val="24"/>
        </w:rPr>
        <w:t xml:space="preserve">Figure </w:t>
      </w:r>
      <w:r>
        <w:rPr>
          <w:sz w:val="24"/>
          <w:szCs w:val="24"/>
        </w:rPr>
        <w:t>2</w:t>
      </w:r>
      <w:r w:rsidRPr="00E13523">
        <w:rPr>
          <w:sz w:val="24"/>
          <w:szCs w:val="24"/>
        </w:rPr>
        <w:t xml:space="preserve"> Selected delay taps from the measured MIMO channel</w:t>
      </w:r>
    </w:p>
    <w:p w:rsidR="00CA397B" w:rsidRPr="00E13523" w:rsidRDefault="00CA397B" w:rsidP="00CA397B">
      <w:pPr>
        <w:rPr>
          <w:lang w:eastAsia="ja-JP"/>
        </w:rPr>
      </w:pPr>
    </w:p>
    <w:p w:rsidR="00CA397B" w:rsidRPr="00E13523" w:rsidRDefault="00CA397B" w:rsidP="00CA397B">
      <w:pPr>
        <w:rPr>
          <w:lang w:val="sv-SE" w:eastAsia="ja-JP"/>
        </w:rPr>
      </w:pPr>
    </w:p>
    <w:p w:rsidR="00CA397B" w:rsidRPr="00E13523" w:rsidRDefault="00CA397B" w:rsidP="00CA397B">
      <w:pPr>
        <w:rPr>
          <w:lang w:val="sv-SE" w:eastAsia="ja-JP"/>
        </w:rPr>
      </w:pPr>
      <w:r w:rsidRPr="00E13523">
        <w:rPr>
          <w:lang w:val="sv-SE" w:eastAsia="ja-JP"/>
        </w:rPr>
        <w:t xml:space="preserve">In Figure </w:t>
      </w:r>
      <w:r>
        <w:rPr>
          <w:lang w:val="sv-SE" w:eastAsia="ja-JP"/>
        </w:rPr>
        <w:t>2</w:t>
      </w:r>
      <w:r w:rsidRPr="00E13523">
        <w:rPr>
          <w:lang w:val="sv-SE" w:eastAsia="ja-JP"/>
        </w:rPr>
        <w:t xml:space="preserve">, it shows a time domain channel response between a base station and a UE, only delay taps with significant power are kept, as other taps with insigificant contribution to the channel composition are discarded. In the figure, three delay taps are shown. At each tap, the channel response is an </w:t>
      </w:r>
      <m:oMath>
        <m:r>
          <w:rPr>
            <w:rFonts w:ascii="Cambria Math" w:hAnsi="Cambria Math"/>
            <w:lang w:val="sv-SE" w:eastAsia="ja-JP"/>
          </w:rPr>
          <m:t>M×N</m:t>
        </m:r>
      </m:oMath>
      <w:r w:rsidRPr="00E13523">
        <w:rPr>
          <w:lang w:val="sv-SE" w:eastAsia="ja-JP"/>
        </w:rPr>
        <w:t xml:space="preserve"> matrix, where M is the number of Tx ports, and N is the number of Rx antennas at the UE. Note at each tap, as the clusters/paths contribute significantly to that tap may not have DoAs covering all the beam basis vectors of the selected beam basis, using only a subset of the beam basis may be enough to capture most of the channel response’s power at that tap. Using fewer beam basis vectors at a tap leads to feedback overhead reduction; looking at it in another way it also allows the use of a larger </w:t>
      </w:r>
      <w:r w:rsidRPr="00E13523">
        <w:rPr>
          <w:i/>
          <w:lang w:val="sv-SE" w:eastAsia="ja-JP"/>
        </w:rPr>
        <w:t>L</w:t>
      </w:r>
      <w:r w:rsidRPr="00E13523">
        <w:rPr>
          <w:lang w:val="sv-SE" w:eastAsia="ja-JP"/>
        </w:rPr>
        <w:t xml:space="preserve"> as the per tap overhead can be small. </w:t>
      </w:r>
    </w:p>
    <w:p w:rsidR="00CA397B" w:rsidRPr="00E13523" w:rsidRDefault="00CA397B" w:rsidP="00CA397B">
      <w:pPr>
        <w:rPr>
          <w:lang w:val="sv-SE" w:eastAsia="ja-JP"/>
        </w:rPr>
      </w:pPr>
      <w:r>
        <w:rPr>
          <w:lang w:val="sv-SE" w:eastAsia="ja-JP"/>
        </w:rPr>
        <w:t>One observation from Figure 2</w:t>
      </w:r>
      <w:r w:rsidRPr="00E13523">
        <w:rPr>
          <w:lang w:val="sv-SE" w:eastAsia="ja-JP"/>
        </w:rPr>
        <w:t xml:space="preserve"> is that coefficient selection can be conducted jointly through spatial layers. We also note coefficient selection can be conducted jointly through polarizations. In the following, we consider a number of coefficent selection schemes:</w:t>
      </w:r>
    </w:p>
    <w:p w:rsidR="00CA397B"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1</w:t>
      </w:r>
      <w:r w:rsidRPr="00E13523">
        <w:rPr>
          <w:lang w:val="sv-SE" w:eastAsia="ja-JP"/>
        </w:rPr>
        <w:t xml:space="preserve">, illustrated in Figure </w:t>
      </w:r>
      <w:r>
        <w:rPr>
          <w:lang w:val="sv-SE" w:eastAsia="ja-JP"/>
        </w:rPr>
        <w:t>3</w:t>
      </w:r>
      <w:r w:rsidRPr="00E13523">
        <w:rPr>
          <w:lang w:val="sv-SE" w:eastAsia="ja-JP"/>
        </w:rPr>
        <w:t>, the coefficient selection (solid black circles) is independently conducted acorss polarizations and spatial layers (if rank 2 or higher is selected);</w:t>
      </w:r>
    </w:p>
    <w:p w:rsidR="00ED0ED0" w:rsidRPr="00E13523" w:rsidRDefault="00ED0ED0" w:rsidP="00ED0ED0">
      <w:pPr>
        <w:pStyle w:val="ListParagraph"/>
        <w:spacing w:after="0"/>
        <w:contextualSpacing/>
        <w:rPr>
          <w:lang w:val="sv-SE" w:eastAsia="ja-JP"/>
        </w:rPr>
      </w:pPr>
    </w:p>
    <w:p w:rsidR="00CA397B"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2</w:t>
      </w:r>
      <w:r w:rsidRPr="00E13523">
        <w:rPr>
          <w:lang w:val="sv-SE" w:eastAsia="ja-JP"/>
        </w:rPr>
        <w:t xml:space="preserve">, illustrated in Figure </w:t>
      </w:r>
      <w:r>
        <w:rPr>
          <w:lang w:val="sv-SE" w:eastAsia="ja-JP"/>
        </w:rPr>
        <w:t>4</w:t>
      </w:r>
      <w:r w:rsidRPr="00E13523">
        <w:rPr>
          <w:lang w:val="sv-SE" w:eastAsia="ja-JP"/>
        </w:rPr>
        <w:t>, the coefficient selection (solid black circles) is common across spatial layers, and only the location of selected coefficients at one spatial layer (shown as solid black circles) needs be be fed back by a UE; and coefficients at corresponding locations at another spatial layer (shwn as dotted circles) are also selected by the UE. Note however with Scheme 2, coefficient selection is allowed to be different across polarizations.</w:t>
      </w:r>
    </w:p>
    <w:p w:rsidR="00ED0ED0" w:rsidRPr="00ED0ED0" w:rsidRDefault="00ED0ED0" w:rsidP="00ED0ED0">
      <w:pPr>
        <w:spacing w:after="0"/>
        <w:contextualSpacing/>
        <w:rPr>
          <w:lang w:val="sv-SE" w:eastAsia="ja-JP"/>
        </w:rPr>
      </w:pPr>
    </w:p>
    <w:p w:rsidR="00CA397B"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3</w:t>
      </w:r>
      <w:r w:rsidRPr="00E13523">
        <w:rPr>
          <w:lang w:val="sv-SE" w:eastAsia="ja-JP"/>
        </w:rPr>
        <w:t xml:space="preserve">, illustarted in Figure </w:t>
      </w:r>
      <w:r>
        <w:rPr>
          <w:lang w:val="sv-SE" w:eastAsia="ja-JP"/>
        </w:rPr>
        <w:t>5</w:t>
      </w:r>
      <w:r w:rsidRPr="00E13523">
        <w:rPr>
          <w:lang w:val="sv-SE" w:eastAsia="ja-JP"/>
        </w:rPr>
        <w:t>, the coefficient selection (solid black circles) is common across polarizations and spatial layers. and only the location of selected coefficients at one polarization at a given spatial layer (shown as solid black circles) needs be be fed back by a UE; and coefficients at corresponding locations at another spatial layer and/or another polarization (shwn as dotted circles) are also selected by the UE.</w:t>
      </w:r>
    </w:p>
    <w:p w:rsidR="00ED0ED0" w:rsidRPr="00ED0ED0" w:rsidRDefault="00ED0ED0" w:rsidP="00ED0ED0">
      <w:pPr>
        <w:spacing w:after="0"/>
        <w:contextualSpacing/>
        <w:rPr>
          <w:lang w:val="sv-SE" w:eastAsia="ja-JP"/>
        </w:rPr>
      </w:pPr>
    </w:p>
    <w:p w:rsidR="00CA397B" w:rsidRPr="00E13523" w:rsidRDefault="00CA397B" w:rsidP="00CA397B">
      <w:pPr>
        <w:pStyle w:val="ListParagraph"/>
        <w:numPr>
          <w:ilvl w:val="0"/>
          <w:numId w:val="24"/>
        </w:numPr>
        <w:spacing w:after="0"/>
        <w:contextualSpacing/>
        <w:rPr>
          <w:lang w:val="sv-SE" w:eastAsia="ja-JP"/>
        </w:rPr>
      </w:pPr>
      <w:r w:rsidRPr="004B42A1">
        <w:rPr>
          <w:b/>
          <w:lang w:val="sv-SE" w:eastAsia="ja-JP"/>
        </w:rPr>
        <w:lastRenderedPageBreak/>
        <w:t>Coefficient Selection Scheme 4</w:t>
      </w:r>
      <w:r w:rsidRPr="00E13523">
        <w:rPr>
          <w:lang w:val="sv-SE" w:eastAsia="ja-JP"/>
        </w:rPr>
        <w:t xml:space="preserve">, illustrated in Figure </w:t>
      </w:r>
      <w:r>
        <w:rPr>
          <w:lang w:val="sv-SE" w:eastAsia="ja-JP"/>
        </w:rPr>
        <w:t>6</w:t>
      </w:r>
      <w:r w:rsidRPr="00E13523">
        <w:rPr>
          <w:lang w:val="sv-SE" w:eastAsia="ja-JP"/>
        </w:rPr>
        <w:t>, the coefficient selection (solid black circles) is common across polarizations at a given spatial layer, and only the locations of selected coefficients at one polarization (shown as solid black circles) needs be be fed back by a UE; and coefficients at corresponding locations at another polarization (shwn as dotted circles) are also selected by the UE. Note however with Scheme 4, coefficient selection is allowed to be different for different spatial layers.</w:t>
      </w:r>
    </w:p>
    <w:p w:rsidR="00CA397B" w:rsidRPr="00E13523" w:rsidRDefault="00CA397B" w:rsidP="004B42A1">
      <w:pPr>
        <w:pStyle w:val="ListParagraph"/>
        <w:spacing w:after="0"/>
        <w:contextualSpacing/>
        <w:rPr>
          <w:lang w:val="sv-SE" w:eastAsia="ja-JP"/>
        </w:rPr>
      </w:pPr>
    </w:p>
    <w:p w:rsidR="00CA397B" w:rsidRPr="00E13523" w:rsidRDefault="00CA397B" w:rsidP="00CA397B">
      <w:pPr>
        <w:pStyle w:val="BodyText"/>
        <w:rPr>
          <w:lang w:val="sv-SE" w:eastAsia="zh-CN"/>
        </w:rPr>
      </w:pPr>
    </w:p>
    <w:p w:rsidR="00CA397B" w:rsidRDefault="00CA397B" w:rsidP="00CA397B">
      <w:pPr>
        <w:rPr>
          <w:noProof/>
        </w:rPr>
      </w:pPr>
      <w:r w:rsidRPr="00E13523">
        <w:rPr>
          <w:noProof/>
        </w:rPr>
        <w:t>We have performed extensive simulation evaluations</w:t>
      </w:r>
      <w:r w:rsidR="009C65DF">
        <w:rPr>
          <w:noProof/>
        </w:rPr>
        <w:t xml:space="preserve"> </w:t>
      </w:r>
      <w:r w:rsidR="009C65DF">
        <w:rPr>
          <w:noProof/>
        </w:rPr>
        <w:fldChar w:fldCharType="begin"/>
      </w:r>
      <w:r w:rsidR="009C65DF">
        <w:rPr>
          <w:noProof/>
        </w:rPr>
        <w:instrText xml:space="preserve"> REF _Ref1132421 \r \h </w:instrText>
      </w:r>
      <w:r w:rsidR="009C65DF">
        <w:rPr>
          <w:noProof/>
        </w:rPr>
      </w:r>
      <w:r w:rsidR="009C65DF">
        <w:rPr>
          <w:noProof/>
        </w:rPr>
        <w:fldChar w:fldCharType="separate"/>
      </w:r>
      <w:r w:rsidR="009C65DF">
        <w:rPr>
          <w:noProof/>
        </w:rPr>
        <w:t>[1]</w:t>
      </w:r>
      <w:r w:rsidR="009C65DF">
        <w:rPr>
          <w:noProof/>
        </w:rPr>
        <w:fldChar w:fldCharType="end"/>
      </w:r>
      <w:r w:rsidRPr="00E13523">
        <w:rPr>
          <w:noProof/>
        </w:rPr>
        <w:t xml:space="preserve">, which reveals that the performance degradation  with </w:t>
      </w:r>
      <w:r>
        <w:rPr>
          <w:noProof/>
        </w:rPr>
        <w:t xml:space="preserve">Coefficient Selection </w:t>
      </w:r>
      <w:r w:rsidRPr="00E13523">
        <w:rPr>
          <w:noProof/>
        </w:rPr>
        <w:t xml:space="preserve">Scheme 2/3/4 compared with that with </w:t>
      </w:r>
      <w:r>
        <w:rPr>
          <w:noProof/>
        </w:rPr>
        <w:t xml:space="preserve">Coefficient Selection </w:t>
      </w:r>
      <w:r w:rsidRPr="00E13523">
        <w:rPr>
          <w:noProof/>
        </w:rPr>
        <w:t xml:space="preserve">Scheme 1 is quite small. </w:t>
      </w:r>
    </w:p>
    <w:p w:rsidR="004B42A1" w:rsidRDefault="00DC4E20" w:rsidP="00CA397B">
      <w:pPr>
        <w:rPr>
          <w:noProof/>
        </w:rPr>
      </w:pPr>
      <w:r>
        <w:rPr>
          <w:noProof/>
        </w:rPr>
        <w:t xml:space="preserve">From Figure 5, it is seen it is enough to use </w:t>
      </w:r>
      <w:r w:rsidRPr="00DC4E20">
        <w:rPr>
          <w:noProof/>
        </w:rPr>
        <w:t xml:space="preserve">a </w:t>
      </w:r>
      <m:oMath>
        <m:r>
          <w:rPr>
            <w:rFonts w:ascii="Cambria Math" w:hAnsi="Cambria Math"/>
            <w:noProof/>
          </w:rPr>
          <m:t>L</m:t>
        </m:r>
        <m:r>
          <m:rPr>
            <m:sty m:val="p"/>
          </m:rPr>
          <w:rPr>
            <w:rFonts w:ascii="Cambria Math" w:hAnsi="Cambria Math"/>
            <w:noProof/>
          </w:rPr>
          <m:t>×</m:t>
        </m:r>
        <m:r>
          <w:rPr>
            <w:rFonts w:ascii="Cambria Math" w:hAnsi="Cambria Math"/>
            <w:noProof/>
          </w:rPr>
          <m:t>M</m:t>
        </m:r>
      </m:oMath>
      <w:r w:rsidRPr="00DC4E20">
        <w:rPr>
          <w:noProof/>
        </w:rPr>
        <w:t xml:space="preserve"> bitmap is used to indicate the positions of non-zero coefficients on M FD components</w:t>
      </w:r>
      <w:r>
        <w:rPr>
          <w:noProof/>
        </w:rPr>
        <w:t xml:space="preserve"> at a polarization, the positions of non-zero coefficients at another polarization/spatial layers can be derived accordingly</w:t>
      </w:r>
      <w:r w:rsidRPr="00DC4E20">
        <w:rPr>
          <w:noProof/>
        </w:rPr>
        <w:t>.</w:t>
      </w:r>
    </w:p>
    <w:p w:rsidR="009C65DF" w:rsidRDefault="009C65DF" w:rsidP="00CA397B">
      <w:pPr>
        <w:rPr>
          <w:noProof/>
        </w:rPr>
      </w:pPr>
      <w:r>
        <w:rPr>
          <w:noProof/>
        </w:rPr>
        <w:t xml:space="preserve">We have </w:t>
      </w:r>
    </w:p>
    <w:p w:rsidR="009C65DF" w:rsidRPr="00B44A0F" w:rsidRDefault="009C65DF" w:rsidP="00CA397B">
      <w:pPr>
        <w:rPr>
          <w:b/>
          <w:noProof/>
        </w:rPr>
      </w:pPr>
      <w:r w:rsidRPr="00B44A0F">
        <w:rPr>
          <w:b/>
          <w:noProof/>
        </w:rPr>
        <w:t>Proposal</w:t>
      </w:r>
      <w:r w:rsidR="007360CB">
        <w:rPr>
          <w:b/>
          <w:noProof/>
        </w:rPr>
        <w:t xml:space="preserve"> 3</w:t>
      </w:r>
      <w:r w:rsidRPr="00B44A0F">
        <w:rPr>
          <w:b/>
          <w:noProof/>
        </w:rPr>
        <w:t>: coefficient selection is common across spatial layers and polarizations.</w:t>
      </w:r>
    </w:p>
    <w:p w:rsidR="00CA397B" w:rsidRPr="00E13523" w:rsidRDefault="00CA397B" w:rsidP="00CA397B">
      <w:pPr>
        <w:keepNext/>
      </w:pPr>
      <w:r w:rsidRPr="00E13523">
        <w:rPr>
          <w:noProof/>
          <w:lang w:val="en-US" w:eastAsia="zh-TW"/>
        </w:rPr>
        <w:lastRenderedPageBreak/>
        <w:drawing>
          <wp:inline distT="0" distB="0" distL="0" distR="0" wp14:anchorId="1797D4C1" wp14:editId="36C9A4A4">
            <wp:extent cx="4548690" cy="6516806"/>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58798" cy="6531287"/>
                    </a:xfrm>
                    <a:prstGeom prst="rect">
                      <a:avLst/>
                    </a:prstGeom>
                  </pic:spPr>
                </pic:pic>
              </a:graphicData>
            </a:graphic>
          </wp:inline>
        </w:drawing>
      </w:r>
    </w:p>
    <w:p w:rsidR="00CA397B" w:rsidRPr="00E13523" w:rsidRDefault="00CA397B" w:rsidP="00CA397B">
      <w:pPr>
        <w:pStyle w:val="Caption"/>
        <w:rPr>
          <w:b w:val="0"/>
          <w:i/>
          <w:sz w:val="24"/>
          <w:szCs w:val="24"/>
        </w:rPr>
      </w:pPr>
      <w:r w:rsidRPr="00E13523">
        <w:rPr>
          <w:sz w:val="24"/>
          <w:szCs w:val="24"/>
        </w:rPr>
        <w:t xml:space="preserve">Figure </w:t>
      </w:r>
      <w:r w:rsidRPr="00E13523">
        <w:rPr>
          <w:b w:val="0"/>
          <w:i/>
          <w:sz w:val="24"/>
          <w:szCs w:val="24"/>
        </w:rPr>
        <w:fldChar w:fldCharType="begin"/>
      </w:r>
      <w:r w:rsidRPr="00E13523">
        <w:rPr>
          <w:sz w:val="24"/>
          <w:szCs w:val="24"/>
        </w:rPr>
        <w:instrText xml:space="preserve"> SEQ Figure \* ARABIC </w:instrText>
      </w:r>
      <w:r w:rsidRPr="00E13523">
        <w:rPr>
          <w:b w:val="0"/>
          <w:i/>
          <w:sz w:val="24"/>
          <w:szCs w:val="24"/>
        </w:rPr>
        <w:fldChar w:fldCharType="separate"/>
      </w:r>
      <w:r w:rsidR="000F0470">
        <w:rPr>
          <w:noProof/>
          <w:sz w:val="24"/>
          <w:szCs w:val="24"/>
        </w:rPr>
        <w:t>2</w:t>
      </w:r>
      <w:r w:rsidRPr="00E13523">
        <w:rPr>
          <w:b w:val="0"/>
          <w:i/>
          <w:sz w:val="24"/>
          <w:szCs w:val="24"/>
        </w:rPr>
        <w:fldChar w:fldCharType="end"/>
      </w:r>
      <w:r w:rsidRPr="00E13523">
        <w:rPr>
          <w:sz w:val="24"/>
          <w:szCs w:val="24"/>
        </w:rPr>
        <w:t xml:space="preserve"> Independent coefficient selection for spatial layers and polarizations</w:t>
      </w:r>
    </w:p>
    <w:p w:rsidR="00CA397B" w:rsidRPr="00E13523" w:rsidRDefault="00CA397B" w:rsidP="00CA397B">
      <w:pPr>
        <w:keepNext/>
      </w:pPr>
      <w:r w:rsidRPr="00E13523">
        <w:rPr>
          <w:noProof/>
          <w:lang w:val="en-US" w:eastAsia="zh-TW"/>
        </w:rPr>
        <w:lastRenderedPageBreak/>
        <w:drawing>
          <wp:inline distT="0" distB="0" distL="0" distR="0" wp14:anchorId="70BDE7B7" wp14:editId="406F43E7">
            <wp:extent cx="4121809" cy="595724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32492" cy="5972688"/>
                    </a:xfrm>
                    <a:prstGeom prst="rect">
                      <a:avLst/>
                    </a:prstGeom>
                  </pic:spPr>
                </pic:pic>
              </a:graphicData>
            </a:graphic>
          </wp:inline>
        </w:drawing>
      </w:r>
    </w:p>
    <w:p w:rsidR="00CA397B" w:rsidRPr="00E13523" w:rsidRDefault="00CA397B" w:rsidP="00CA397B">
      <w:pPr>
        <w:pStyle w:val="Caption"/>
        <w:rPr>
          <w:b w:val="0"/>
          <w:i/>
          <w:sz w:val="24"/>
          <w:szCs w:val="24"/>
        </w:rPr>
      </w:pPr>
      <w:r w:rsidRPr="00E13523">
        <w:rPr>
          <w:sz w:val="24"/>
          <w:szCs w:val="24"/>
        </w:rPr>
        <w:t xml:space="preserve">Figure </w:t>
      </w:r>
      <w:r>
        <w:rPr>
          <w:sz w:val="24"/>
          <w:szCs w:val="24"/>
        </w:rPr>
        <w:t>4</w:t>
      </w:r>
      <w:r w:rsidRPr="00E13523">
        <w:rPr>
          <w:sz w:val="24"/>
          <w:szCs w:val="24"/>
        </w:rPr>
        <w:t xml:space="preserve"> Common coefficient selection across spatial layers </w:t>
      </w:r>
    </w:p>
    <w:p w:rsidR="00CA397B" w:rsidRPr="00E13523" w:rsidRDefault="00CA397B" w:rsidP="00CA397B"/>
    <w:p w:rsidR="00CA397B" w:rsidRPr="00E13523" w:rsidRDefault="00CA397B" w:rsidP="00CA397B">
      <w:pPr>
        <w:keepNext/>
      </w:pPr>
      <w:r w:rsidRPr="00E13523">
        <w:rPr>
          <w:noProof/>
          <w:lang w:val="en-US" w:eastAsia="zh-TW"/>
        </w:rPr>
        <w:lastRenderedPageBreak/>
        <w:drawing>
          <wp:inline distT="0" distB="0" distL="0" distR="0" wp14:anchorId="078CC877" wp14:editId="3EF34503">
            <wp:extent cx="4709871" cy="681705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17321" cy="6827841"/>
                    </a:xfrm>
                    <a:prstGeom prst="rect">
                      <a:avLst/>
                    </a:prstGeom>
                  </pic:spPr>
                </pic:pic>
              </a:graphicData>
            </a:graphic>
          </wp:inline>
        </w:drawing>
      </w:r>
    </w:p>
    <w:p w:rsidR="00CA397B" w:rsidRPr="00E13523" w:rsidRDefault="00CA397B" w:rsidP="00CA397B">
      <w:pPr>
        <w:pStyle w:val="Caption"/>
        <w:rPr>
          <w:b w:val="0"/>
          <w:sz w:val="24"/>
          <w:szCs w:val="24"/>
        </w:rPr>
      </w:pPr>
      <w:r w:rsidRPr="00E13523">
        <w:rPr>
          <w:sz w:val="24"/>
          <w:szCs w:val="24"/>
        </w:rPr>
        <w:t xml:space="preserve">Figure </w:t>
      </w:r>
      <w:r>
        <w:rPr>
          <w:sz w:val="24"/>
          <w:szCs w:val="24"/>
        </w:rPr>
        <w:t>5</w:t>
      </w:r>
      <w:r w:rsidRPr="00E13523">
        <w:rPr>
          <w:sz w:val="24"/>
          <w:szCs w:val="24"/>
        </w:rPr>
        <w:t xml:space="preserve"> Common coefficient selection across spatial layers and polarizations</w:t>
      </w:r>
    </w:p>
    <w:p w:rsidR="00CA397B" w:rsidRPr="00E13523" w:rsidRDefault="00CA397B" w:rsidP="00CA397B">
      <w:pPr>
        <w:keepNext/>
      </w:pPr>
      <w:r w:rsidRPr="00E13523">
        <w:rPr>
          <w:noProof/>
          <w:lang w:val="en-US" w:eastAsia="zh-TW"/>
        </w:rPr>
        <w:lastRenderedPageBreak/>
        <w:drawing>
          <wp:inline distT="0" distB="0" distL="0" distR="0" wp14:anchorId="15AB5E62" wp14:editId="6A50845B">
            <wp:extent cx="4729136" cy="70149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42942" cy="7035428"/>
                    </a:xfrm>
                    <a:prstGeom prst="rect">
                      <a:avLst/>
                    </a:prstGeom>
                  </pic:spPr>
                </pic:pic>
              </a:graphicData>
            </a:graphic>
          </wp:inline>
        </w:drawing>
      </w:r>
    </w:p>
    <w:p w:rsidR="00CA397B" w:rsidRDefault="00CA397B" w:rsidP="00CA397B">
      <w:pPr>
        <w:pStyle w:val="Caption"/>
        <w:rPr>
          <w:sz w:val="24"/>
          <w:szCs w:val="24"/>
        </w:rPr>
      </w:pPr>
      <w:r w:rsidRPr="00E13523">
        <w:rPr>
          <w:sz w:val="24"/>
          <w:szCs w:val="24"/>
        </w:rPr>
        <w:t xml:space="preserve">Figure </w:t>
      </w:r>
      <w:r>
        <w:rPr>
          <w:sz w:val="24"/>
          <w:szCs w:val="24"/>
        </w:rPr>
        <w:t>6</w:t>
      </w:r>
      <w:r w:rsidRPr="00E13523">
        <w:rPr>
          <w:sz w:val="24"/>
          <w:szCs w:val="24"/>
        </w:rPr>
        <w:t xml:space="preserve"> Common coefficient selection across polarizations at a given spatial layer</w:t>
      </w:r>
    </w:p>
    <w:p w:rsidR="004B612E" w:rsidRDefault="004B612E" w:rsidP="004B612E"/>
    <w:p w:rsidR="004B612E" w:rsidRPr="004B612E" w:rsidRDefault="004B612E" w:rsidP="004B612E"/>
    <w:p w:rsidR="00D021BB" w:rsidRDefault="00D021BB">
      <w:pPr>
        <w:spacing w:after="160" w:line="259" w:lineRule="auto"/>
        <w:rPr>
          <w:noProof/>
        </w:rPr>
      </w:pPr>
      <w:r>
        <w:rPr>
          <w:noProof/>
        </w:rPr>
        <w:br w:type="page"/>
      </w:r>
    </w:p>
    <w:p w:rsidR="004B612E" w:rsidRPr="00E13523" w:rsidRDefault="004B612E" w:rsidP="004B612E">
      <w:pPr>
        <w:tabs>
          <w:tab w:val="center" w:pos="4800"/>
          <w:tab w:val="right" w:pos="9500"/>
        </w:tabs>
        <w:ind w:firstLine="720"/>
        <w:jc w:val="both"/>
        <w:rPr>
          <w:noProof/>
        </w:rPr>
      </w:pPr>
    </w:p>
    <w:p w:rsidR="007F73FE" w:rsidRDefault="007F73FE" w:rsidP="007F73FE">
      <w:pPr>
        <w:pStyle w:val="Heading1"/>
      </w:pPr>
      <w:bookmarkStart w:id="6" w:name="_Toc1129635"/>
      <w:bookmarkStart w:id="7" w:name="_Toc1129757"/>
      <w:bookmarkStart w:id="8" w:name="_Toc1144403"/>
      <w:bookmarkStart w:id="9" w:name="_Toc1129636"/>
      <w:bookmarkStart w:id="10" w:name="_Toc1129758"/>
      <w:bookmarkStart w:id="11" w:name="_Toc1144404"/>
      <w:bookmarkStart w:id="12" w:name="_Toc1129637"/>
      <w:bookmarkStart w:id="13" w:name="_Toc1129759"/>
      <w:bookmarkStart w:id="14" w:name="_Toc1144405"/>
      <w:bookmarkStart w:id="15" w:name="_Toc1129638"/>
      <w:bookmarkStart w:id="16" w:name="_Toc1129760"/>
      <w:bookmarkStart w:id="17" w:name="_Toc1144406"/>
      <w:bookmarkStart w:id="18" w:name="_Toc1129639"/>
      <w:bookmarkStart w:id="19" w:name="_Toc1129761"/>
      <w:bookmarkStart w:id="20" w:name="_Toc1144407"/>
      <w:bookmarkStart w:id="21" w:name="_Toc1129640"/>
      <w:bookmarkStart w:id="22" w:name="_Toc1129762"/>
      <w:bookmarkStart w:id="23" w:name="_Toc1144408"/>
      <w:bookmarkStart w:id="24" w:name="_Toc1129641"/>
      <w:bookmarkStart w:id="25" w:name="_Toc1129763"/>
      <w:bookmarkStart w:id="26" w:name="_Toc1144409"/>
      <w:bookmarkStart w:id="27" w:name="_Toc1129642"/>
      <w:bookmarkStart w:id="28" w:name="_Toc1129764"/>
      <w:bookmarkStart w:id="29" w:name="_Toc1144410"/>
      <w:bookmarkStart w:id="30" w:name="_Toc1129643"/>
      <w:bookmarkStart w:id="31" w:name="_Toc1129765"/>
      <w:bookmarkStart w:id="32" w:name="_Toc1144411"/>
      <w:bookmarkStart w:id="33" w:name="_Toc1129644"/>
      <w:bookmarkStart w:id="34" w:name="_Toc1129766"/>
      <w:bookmarkStart w:id="35" w:name="_Toc1144412"/>
      <w:bookmarkStart w:id="36" w:name="_Toc1129645"/>
      <w:bookmarkStart w:id="37" w:name="_Toc1129767"/>
      <w:bookmarkStart w:id="38" w:name="_Toc1144413"/>
      <w:bookmarkStart w:id="39" w:name="_Toc1129646"/>
      <w:bookmarkStart w:id="40" w:name="_Toc1129768"/>
      <w:bookmarkStart w:id="41" w:name="_Toc1144414"/>
      <w:bookmarkStart w:id="42" w:name="_Toc1129647"/>
      <w:bookmarkStart w:id="43" w:name="_Toc1129769"/>
      <w:bookmarkStart w:id="44" w:name="_Toc1144415"/>
      <w:bookmarkStart w:id="45" w:name="_Toc1129648"/>
      <w:bookmarkStart w:id="46" w:name="_Toc1129770"/>
      <w:bookmarkStart w:id="47" w:name="_Toc1144416"/>
      <w:bookmarkStart w:id="48" w:name="_Toc1129649"/>
      <w:bookmarkStart w:id="49" w:name="_Toc1129771"/>
      <w:bookmarkStart w:id="50" w:name="_Toc1144417"/>
      <w:bookmarkStart w:id="51" w:name="_Toc1129650"/>
      <w:bookmarkStart w:id="52" w:name="_Toc1129772"/>
      <w:bookmarkStart w:id="53" w:name="_Toc1144418"/>
      <w:bookmarkStart w:id="54" w:name="_Toc1129651"/>
      <w:bookmarkStart w:id="55" w:name="_Toc1129773"/>
      <w:bookmarkStart w:id="56" w:name="_Toc1144419"/>
      <w:bookmarkStart w:id="57" w:name="_Toc1129652"/>
      <w:bookmarkStart w:id="58" w:name="_Toc1129774"/>
      <w:bookmarkStart w:id="59" w:name="_Toc1144420"/>
      <w:bookmarkStart w:id="60" w:name="_Toc1129653"/>
      <w:bookmarkStart w:id="61" w:name="_Toc1129775"/>
      <w:bookmarkStart w:id="62" w:name="_Toc1144421"/>
      <w:bookmarkStart w:id="63" w:name="_Toc1129654"/>
      <w:bookmarkStart w:id="64" w:name="_Toc1129776"/>
      <w:bookmarkStart w:id="65" w:name="_Toc1144422"/>
      <w:bookmarkStart w:id="66" w:name="_Toc1129655"/>
      <w:bookmarkStart w:id="67" w:name="_Toc1129777"/>
      <w:bookmarkStart w:id="68" w:name="_Toc1144423"/>
      <w:bookmarkStart w:id="69" w:name="_Toc1129656"/>
      <w:bookmarkStart w:id="70" w:name="_Toc1129778"/>
      <w:bookmarkStart w:id="71" w:name="_Toc1144424"/>
      <w:bookmarkStart w:id="72" w:name="_Toc1129657"/>
      <w:bookmarkStart w:id="73" w:name="_Toc1129779"/>
      <w:bookmarkStart w:id="74" w:name="_Toc1144425"/>
      <w:bookmarkStart w:id="75" w:name="_Toc1129658"/>
      <w:bookmarkStart w:id="76" w:name="_Toc1129780"/>
      <w:bookmarkStart w:id="77" w:name="_Toc1144426"/>
      <w:bookmarkStart w:id="78" w:name="_Toc1129659"/>
      <w:bookmarkStart w:id="79" w:name="_Toc1129781"/>
      <w:bookmarkStart w:id="80" w:name="_Toc1144427"/>
      <w:bookmarkStart w:id="81" w:name="_Toc1129660"/>
      <w:bookmarkStart w:id="82" w:name="_Toc1129782"/>
      <w:bookmarkStart w:id="83" w:name="_Toc1144428"/>
      <w:bookmarkStart w:id="84" w:name="_Toc1129661"/>
      <w:bookmarkStart w:id="85" w:name="_Toc1129783"/>
      <w:bookmarkStart w:id="86" w:name="_Toc1144429"/>
      <w:bookmarkStart w:id="87" w:name="_Toc1129662"/>
      <w:bookmarkStart w:id="88" w:name="_Toc1129784"/>
      <w:bookmarkStart w:id="89" w:name="_Toc1144430"/>
      <w:bookmarkStart w:id="90" w:name="_Toc1129663"/>
      <w:bookmarkStart w:id="91" w:name="_Toc1129785"/>
      <w:bookmarkStart w:id="92" w:name="_Toc1144431"/>
      <w:bookmarkStart w:id="93" w:name="_Toc1129664"/>
      <w:bookmarkStart w:id="94" w:name="_Toc1129786"/>
      <w:bookmarkStart w:id="95" w:name="_Toc1144432"/>
      <w:bookmarkStart w:id="96" w:name="_Toc1129665"/>
      <w:bookmarkStart w:id="97" w:name="_Toc1129787"/>
      <w:bookmarkStart w:id="98" w:name="_Toc1144433"/>
      <w:bookmarkStart w:id="99" w:name="_Toc1129666"/>
      <w:bookmarkStart w:id="100" w:name="_Toc1129788"/>
      <w:bookmarkStart w:id="101" w:name="_Toc1144434"/>
      <w:bookmarkStart w:id="102" w:name="_Toc1129667"/>
      <w:bookmarkStart w:id="103" w:name="_Toc1129789"/>
      <w:bookmarkStart w:id="104" w:name="_Toc1144435"/>
      <w:bookmarkStart w:id="105" w:name="_Toc1129668"/>
      <w:bookmarkStart w:id="106" w:name="_Toc1129790"/>
      <w:bookmarkStart w:id="107" w:name="_Toc1144436"/>
      <w:bookmarkStart w:id="108" w:name="_Toc1129669"/>
      <w:bookmarkStart w:id="109" w:name="_Toc1129791"/>
      <w:bookmarkStart w:id="110" w:name="_Toc1144437"/>
      <w:bookmarkStart w:id="111" w:name="_Toc1129670"/>
      <w:bookmarkStart w:id="112" w:name="_Toc1129792"/>
      <w:bookmarkStart w:id="113" w:name="_Toc1144438"/>
      <w:bookmarkStart w:id="114" w:name="_Toc1129671"/>
      <w:bookmarkStart w:id="115" w:name="_Toc1129793"/>
      <w:bookmarkStart w:id="116" w:name="_Toc1144439"/>
      <w:bookmarkStart w:id="117" w:name="_Toc1129672"/>
      <w:bookmarkStart w:id="118" w:name="_Toc1129794"/>
      <w:bookmarkStart w:id="119" w:name="_Toc1144440"/>
      <w:bookmarkStart w:id="120" w:name="_Toc1129673"/>
      <w:bookmarkStart w:id="121" w:name="_Toc1129795"/>
      <w:bookmarkStart w:id="122" w:name="_Toc1144441"/>
      <w:bookmarkStart w:id="123" w:name="_Toc1129674"/>
      <w:bookmarkStart w:id="124" w:name="_Toc1129796"/>
      <w:bookmarkStart w:id="125" w:name="_Toc1144442"/>
      <w:bookmarkStart w:id="126" w:name="_Toc1129675"/>
      <w:bookmarkStart w:id="127" w:name="_Toc1129797"/>
      <w:bookmarkStart w:id="128" w:name="_Toc1144443"/>
      <w:bookmarkStart w:id="129" w:name="_Toc1129676"/>
      <w:bookmarkStart w:id="130" w:name="_Toc1129798"/>
      <w:bookmarkStart w:id="131" w:name="_Toc1144444"/>
      <w:bookmarkStart w:id="132" w:name="_Toc1129677"/>
      <w:bookmarkStart w:id="133" w:name="_Toc1129799"/>
      <w:bookmarkStart w:id="134" w:name="_Toc1144445"/>
      <w:bookmarkStart w:id="135" w:name="_Toc1129678"/>
      <w:bookmarkStart w:id="136" w:name="_Toc1129800"/>
      <w:bookmarkStart w:id="137" w:name="_Toc1144446"/>
      <w:bookmarkStart w:id="138" w:name="_Toc1129679"/>
      <w:bookmarkStart w:id="139" w:name="_Toc1129801"/>
      <w:bookmarkStart w:id="140" w:name="_Toc1144447"/>
      <w:bookmarkStart w:id="141" w:name="_Toc1129680"/>
      <w:bookmarkStart w:id="142" w:name="_Toc1129802"/>
      <w:bookmarkStart w:id="143" w:name="_Toc1144448"/>
      <w:bookmarkStart w:id="144" w:name="_Toc1129681"/>
      <w:bookmarkStart w:id="145" w:name="_Toc1129803"/>
      <w:bookmarkStart w:id="146" w:name="_Toc1144449"/>
      <w:bookmarkStart w:id="147" w:name="_Toc1129682"/>
      <w:bookmarkStart w:id="148" w:name="_Toc1129804"/>
      <w:bookmarkStart w:id="149" w:name="_Toc1144450"/>
      <w:bookmarkStart w:id="150" w:name="_Toc1129683"/>
      <w:bookmarkStart w:id="151" w:name="_Toc1129805"/>
      <w:bookmarkStart w:id="152" w:name="_Toc1144451"/>
      <w:bookmarkStart w:id="153" w:name="_Toc1129684"/>
      <w:bookmarkStart w:id="154" w:name="_Toc1129806"/>
      <w:bookmarkStart w:id="155" w:name="_Toc1144452"/>
      <w:bookmarkStart w:id="156" w:name="_Toc1129685"/>
      <w:bookmarkStart w:id="157" w:name="_Toc1129807"/>
      <w:bookmarkStart w:id="158" w:name="_Toc1144453"/>
      <w:bookmarkStart w:id="159" w:name="_Toc1129686"/>
      <w:bookmarkStart w:id="160" w:name="_Toc1129808"/>
      <w:bookmarkStart w:id="161" w:name="_Toc1144454"/>
      <w:bookmarkStart w:id="162" w:name="_Toc1129687"/>
      <w:bookmarkStart w:id="163" w:name="_Toc1129809"/>
      <w:bookmarkStart w:id="164" w:name="_Toc1144455"/>
      <w:bookmarkStart w:id="165" w:name="_Toc1129688"/>
      <w:bookmarkStart w:id="166" w:name="_Toc1129810"/>
      <w:bookmarkStart w:id="167" w:name="_Toc1144456"/>
      <w:bookmarkStart w:id="168" w:name="_Toc1129689"/>
      <w:bookmarkStart w:id="169" w:name="_Toc1129811"/>
      <w:bookmarkStart w:id="170" w:name="_Toc1144457"/>
      <w:bookmarkStart w:id="171" w:name="_Toc1129690"/>
      <w:bookmarkStart w:id="172" w:name="_Toc1129812"/>
      <w:bookmarkStart w:id="173" w:name="_Toc1144458"/>
      <w:bookmarkStart w:id="174" w:name="_Toc1129691"/>
      <w:bookmarkStart w:id="175" w:name="_Toc1129813"/>
      <w:bookmarkStart w:id="176" w:name="_Toc1144459"/>
      <w:bookmarkStart w:id="177" w:name="_Toc1129692"/>
      <w:bookmarkStart w:id="178" w:name="_Toc1129814"/>
      <w:bookmarkStart w:id="179" w:name="_Toc1144460"/>
      <w:bookmarkStart w:id="180" w:name="_Toc1129693"/>
      <w:bookmarkStart w:id="181" w:name="_Toc1129815"/>
      <w:bookmarkStart w:id="182" w:name="_Toc1144461"/>
      <w:bookmarkStart w:id="183" w:name="_Toc1129694"/>
      <w:bookmarkStart w:id="184" w:name="_Toc1129816"/>
      <w:bookmarkStart w:id="185" w:name="_Toc1144462"/>
      <w:bookmarkStart w:id="186" w:name="_Toc1129695"/>
      <w:bookmarkStart w:id="187" w:name="_Toc1129817"/>
      <w:bookmarkStart w:id="188" w:name="_Toc1144463"/>
      <w:bookmarkStart w:id="189" w:name="_Toc1129696"/>
      <w:bookmarkStart w:id="190" w:name="_Toc1129818"/>
      <w:bookmarkStart w:id="191" w:name="_Toc1144464"/>
      <w:bookmarkStart w:id="192" w:name="_Toc1129697"/>
      <w:bookmarkStart w:id="193" w:name="_Toc1129819"/>
      <w:bookmarkStart w:id="194" w:name="_Toc1144465"/>
      <w:bookmarkStart w:id="195" w:name="_Toc1129698"/>
      <w:bookmarkStart w:id="196" w:name="_Toc1129820"/>
      <w:bookmarkStart w:id="197" w:name="_Toc1144466"/>
      <w:bookmarkStart w:id="198" w:name="_Toc1125313"/>
      <w:bookmarkStart w:id="199" w:name="_Toc1129699"/>
      <w:bookmarkStart w:id="200" w:name="_Toc1129821"/>
      <w:bookmarkStart w:id="201" w:name="_Toc1144467"/>
      <w:bookmarkStart w:id="202" w:name="_Toc1125314"/>
      <w:bookmarkStart w:id="203" w:name="_Toc1129700"/>
      <w:bookmarkStart w:id="204" w:name="_Toc1129822"/>
      <w:bookmarkStart w:id="205" w:name="_Toc1144468"/>
      <w:bookmarkStart w:id="206" w:name="_Toc1129701"/>
      <w:bookmarkStart w:id="207" w:name="_Toc1129823"/>
      <w:bookmarkStart w:id="208" w:name="_Toc1144469"/>
      <w:bookmarkStart w:id="209" w:name="_Toc1129702"/>
      <w:bookmarkStart w:id="210" w:name="_Toc1129824"/>
      <w:bookmarkStart w:id="211" w:name="_Toc1144470"/>
      <w:bookmarkStart w:id="212" w:name="_Toc1129703"/>
      <w:bookmarkStart w:id="213" w:name="_Toc1129825"/>
      <w:bookmarkStart w:id="214" w:name="_Toc1144471"/>
      <w:bookmarkStart w:id="215" w:name="_Toc1129704"/>
      <w:bookmarkStart w:id="216" w:name="_Toc1129826"/>
      <w:bookmarkStart w:id="217" w:name="_Toc1144472"/>
      <w:bookmarkStart w:id="218" w:name="_Toc1129705"/>
      <w:bookmarkStart w:id="219" w:name="_Toc1129827"/>
      <w:bookmarkStart w:id="220" w:name="_Toc1144473"/>
      <w:bookmarkStart w:id="221" w:name="_Toc1129706"/>
      <w:bookmarkStart w:id="222" w:name="_Toc1129828"/>
      <w:bookmarkStart w:id="223" w:name="_Toc1144474"/>
      <w:bookmarkStart w:id="224" w:name="_Toc1129707"/>
      <w:bookmarkStart w:id="225" w:name="_Toc1129829"/>
      <w:bookmarkStart w:id="226" w:name="_Toc1144475"/>
      <w:bookmarkStart w:id="227" w:name="_Toc1129708"/>
      <w:bookmarkStart w:id="228" w:name="_Toc1129830"/>
      <w:bookmarkStart w:id="229" w:name="_Toc1144476"/>
      <w:bookmarkStart w:id="230" w:name="_Toc1129709"/>
      <w:bookmarkStart w:id="231" w:name="_Toc1129831"/>
      <w:bookmarkStart w:id="232" w:name="_Toc1144477"/>
      <w:bookmarkStart w:id="233" w:name="_Toc1129710"/>
      <w:bookmarkStart w:id="234" w:name="_Toc1129832"/>
      <w:bookmarkStart w:id="235" w:name="_Toc1144478"/>
      <w:bookmarkStart w:id="236" w:name="_Toc1129711"/>
      <w:bookmarkStart w:id="237" w:name="_Toc1129833"/>
      <w:bookmarkStart w:id="238" w:name="_Toc1144479"/>
      <w:bookmarkStart w:id="239" w:name="_Toc1129712"/>
      <w:bookmarkStart w:id="240" w:name="_Toc1129834"/>
      <w:bookmarkStart w:id="241" w:name="_Toc1144480"/>
      <w:bookmarkStart w:id="242" w:name="_Toc1129713"/>
      <w:bookmarkStart w:id="243" w:name="_Toc1129835"/>
      <w:bookmarkStart w:id="244" w:name="_Toc1144481"/>
      <w:bookmarkStart w:id="245" w:name="_Toc1129714"/>
      <w:bookmarkStart w:id="246" w:name="_Toc1129836"/>
      <w:bookmarkStart w:id="247" w:name="_Toc1144482"/>
      <w:bookmarkStart w:id="248" w:name="_Toc1129715"/>
      <w:bookmarkStart w:id="249" w:name="_Toc1129837"/>
      <w:bookmarkStart w:id="250" w:name="_Toc1144483"/>
      <w:bookmarkStart w:id="251" w:name="_Toc1129716"/>
      <w:bookmarkStart w:id="252" w:name="_Toc1129838"/>
      <w:bookmarkStart w:id="253" w:name="_Toc1144484"/>
      <w:bookmarkStart w:id="254" w:name="_Toc1129717"/>
      <w:bookmarkStart w:id="255" w:name="_Toc1129839"/>
      <w:bookmarkStart w:id="256" w:name="_Toc1144485"/>
      <w:bookmarkStart w:id="257" w:name="_Toc1129718"/>
      <w:bookmarkStart w:id="258" w:name="_Toc1129840"/>
      <w:bookmarkStart w:id="259" w:name="_Toc1144486"/>
      <w:bookmarkStart w:id="260" w:name="_Toc1129719"/>
      <w:bookmarkStart w:id="261" w:name="_Toc1129841"/>
      <w:bookmarkStart w:id="262" w:name="_Toc1144487"/>
      <w:bookmarkStart w:id="263" w:name="_Toc1129720"/>
      <w:bookmarkStart w:id="264" w:name="_Toc1129842"/>
      <w:bookmarkStart w:id="265" w:name="_Toc1144488"/>
      <w:bookmarkStart w:id="266" w:name="_Toc1129721"/>
      <w:bookmarkStart w:id="267" w:name="_Toc1129843"/>
      <w:bookmarkStart w:id="268" w:name="_Toc1144489"/>
      <w:bookmarkStart w:id="269" w:name="_Toc114449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t>Conclusions</w:t>
      </w:r>
      <w:bookmarkEnd w:id="269"/>
    </w:p>
    <w:p w:rsidR="007F73FE" w:rsidRDefault="007F73FE" w:rsidP="003F7E11">
      <w:pPr>
        <w:tabs>
          <w:tab w:val="center" w:pos="4800"/>
          <w:tab w:val="right" w:pos="9500"/>
        </w:tabs>
        <w:jc w:val="both"/>
        <w:rPr>
          <w:noProof/>
        </w:rPr>
      </w:pPr>
      <w:r>
        <w:rPr>
          <w:noProof/>
        </w:rPr>
        <w:t xml:space="preserve">In this contribution, we provide our views on </w:t>
      </w:r>
      <w:r w:rsidR="007360CB">
        <w:rPr>
          <w:noProof/>
        </w:rPr>
        <w:t>FD component selection and coefficient subsetion selection. We have</w:t>
      </w:r>
    </w:p>
    <w:p w:rsidR="007360CB" w:rsidRPr="003A5F15" w:rsidRDefault="007360CB" w:rsidP="007360CB">
      <w:pPr>
        <w:tabs>
          <w:tab w:val="center" w:pos="4800"/>
          <w:tab w:val="right" w:pos="9500"/>
        </w:tabs>
        <w:jc w:val="both"/>
        <w:rPr>
          <w:b/>
          <w:noProof/>
        </w:rPr>
      </w:pPr>
      <w:r w:rsidRPr="003A5F15">
        <w:rPr>
          <w:b/>
          <w:noProof/>
        </w:rPr>
        <w:t xml:space="preserve">Observation: </w:t>
      </w:r>
      <w:r>
        <w:rPr>
          <w:b/>
          <w:noProof/>
        </w:rPr>
        <w:t>coefficient selection plays a central role in achieving overhead reduction in Rel-16.</w:t>
      </w:r>
    </w:p>
    <w:p w:rsidR="007360CB" w:rsidRPr="00015B52" w:rsidRDefault="007360CB" w:rsidP="00B44A0F">
      <w:pPr>
        <w:tabs>
          <w:tab w:val="center" w:pos="4800"/>
          <w:tab w:val="right" w:pos="9500"/>
        </w:tabs>
        <w:jc w:val="both"/>
        <w:rPr>
          <w:b/>
          <w:noProof/>
        </w:rPr>
      </w:pPr>
      <w:r w:rsidRPr="00015B52">
        <w:rPr>
          <w:b/>
          <w:noProof/>
        </w:rPr>
        <w:t xml:space="preserve">Proposal </w:t>
      </w:r>
      <w:r>
        <w:rPr>
          <w:b/>
          <w:noProof/>
        </w:rPr>
        <w:t>1: F</w:t>
      </w:r>
      <w:r w:rsidRPr="00015B52">
        <w:rPr>
          <w:b/>
          <w:noProof/>
        </w:rPr>
        <w:t xml:space="preserve">D component selection </w:t>
      </w:r>
      <w:r>
        <w:rPr>
          <w:b/>
          <w:noProof/>
        </w:rPr>
        <w:t>is common for spatial layers</w:t>
      </w:r>
      <w:r w:rsidRPr="00015B52">
        <w:rPr>
          <w:b/>
          <w:noProof/>
        </w:rPr>
        <w:t>.</w:t>
      </w:r>
    </w:p>
    <w:p w:rsidR="007360CB" w:rsidRPr="00C74A9F" w:rsidRDefault="007360CB" w:rsidP="007360CB">
      <w:pPr>
        <w:tabs>
          <w:tab w:val="center" w:pos="4800"/>
          <w:tab w:val="right" w:pos="9500"/>
        </w:tabs>
        <w:jc w:val="both"/>
        <w:rPr>
          <w:b/>
          <w:noProof/>
          <w:lang w:val="en-US"/>
        </w:rPr>
      </w:pPr>
      <w:r w:rsidRPr="00C74A9F">
        <w:rPr>
          <w:b/>
          <w:szCs w:val="28"/>
        </w:rPr>
        <w:t xml:space="preserve">Proposal </w:t>
      </w:r>
      <w:r>
        <w:rPr>
          <w:b/>
          <w:szCs w:val="28"/>
        </w:rPr>
        <w:t>2</w:t>
      </w:r>
      <w:r w:rsidRPr="00C74A9F">
        <w:rPr>
          <w:b/>
          <w:szCs w:val="28"/>
        </w:rPr>
        <w:t>-1: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6" type="#_x0000_t75" style="width:14.25pt;height:21.05pt" o:ole="">
            <v:imagedata r:id="rId8" o:title=""/>
          </v:shape>
          <o:OLEObject Type="Embed" ProgID="Equation.DSMT4" ShapeID="_x0000_i1036" DrawAspect="Content" ObjectID="_1611764095" r:id="rId26"/>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Pr>
          <w:b/>
          <w:szCs w:val="28"/>
        </w:rPr>
        <w:t xml:space="preserve">; coefficient selection </w:t>
      </w:r>
      <w:r w:rsidRPr="00C74A9F">
        <w:rPr>
          <w:b/>
          <w:szCs w:val="28"/>
        </w:rPr>
        <w:t>for the 1</w:t>
      </w:r>
      <w:r w:rsidRPr="00C74A9F">
        <w:rPr>
          <w:b/>
          <w:szCs w:val="28"/>
          <w:vertAlign w:val="superscript"/>
        </w:rPr>
        <w:t>st</w:t>
      </w:r>
      <w:r w:rsidRPr="00C74A9F">
        <w:rPr>
          <w:b/>
          <w:szCs w:val="28"/>
        </w:rPr>
        <w:t xml:space="preserve"> </w:t>
      </w:r>
      <w:r>
        <w:rPr>
          <w:b/>
          <w:szCs w:val="28"/>
        </w:rPr>
        <w:t xml:space="preserve">layer </w:t>
      </w:r>
      <w:r w:rsidRPr="00C74A9F">
        <w:rPr>
          <w:b/>
          <w:szCs w:val="28"/>
        </w:rPr>
        <w:t>is the same as that for the 2</w:t>
      </w:r>
      <w:r w:rsidRPr="00C74A9F">
        <w:rPr>
          <w:b/>
          <w:szCs w:val="28"/>
          <w:vertAlign w:val="superscript"/>
        </w:rPr>
        <w:t>nd</w:t>
      </w:r>
      <w:r w:rsidRPr="00C74A9F">
        <w:rPr>
          <w:b/>
          <w:szCs w:val="28"/>
        </w:rPr>
        <w:t xml:space="preserve"> layer</w:t>
      </w:r>
      <w:r w:rsidR="00CD1DCE">
        <w:rPr>
          <w:b/>
          <w:szCs w:val="28"/>
        </w:rPr>
        <w:t>.</w:t>
      </w:r>
      <w:bookmarkStart w:id="270" w:name="_GoBack"/>
      <w:bookmarkEnd w:id="270"/>
    </w:p>
    <w:p w:rsidR="007360CB" w:rsidRDefault="007360CB" w:rsidP="007360CB">
      <w:pPr>
        <w:tabs>
          <w:tab w:val="center" w:pos="4800"/>
          <w:tab w:val="right" w:pos="9500"/>
        </w:tabs>
        <w:rPr>
          <w:b/>
          <w:noProof/>
        </w:rPr>
      </w:pPr>
      <w:r w:rsidRPr="00C74A9F">
        <w:rPr>
          <w:b/>
          <w:noProof/>
        </w:rPr>
        <w:t xml:space="preserve">Proposal </w:t>
      </w:r>
      <w:r>
        <w:rPr>
          <w:b/>
          <w:noProof/>
        </w:rPr>
        <w:t>2-2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7360CB" w:rsidRPr="0028764F" w:rsidRDefault="007360CB" w:rsidP="007360CB">
      <w:pPr>
        <w:rPr>
          <w:b/>
          <w:noProof/>
        </w:rPr>
      </w:pPr>
      <w:r w:rsidRPr="0028764F">
        <w:rPr>
          <w:b/>
          <w:noProof/>
        </w:rPr>
        <w:t>Proposal</w:t>
      </w:r>
      <w:r>
        <w:rPr>
          <w:b/>
          <w:noProof/>
        </w:rPr>
        <w:t xml:space="preserve"> 3</w:t>
      </w:r>
      <w:r w:rsidRPr="0028764F">
        <w:rPr>
          <w:b/>
          <w:noProof/>
        </w:rPr>
        <w:t>: coefficient selection is common across spatial layers and polarizations.</w:t>
      </w:r>
    </w:p>
    <w:p w:rsidR="007360CB" w:rsidRDefault="007360CB" w:rsidP="003F7E11">
      <w:pPr>
        <w:tabs>
          <w:tab w:val="center" w:pos="4800"/>
          <w:tab w:val="right" w:pos="9500"/>
        </w:tabs>
        <w:jc w:val="both"/>
        <w:rPr>
          <w:noProof/>
        </w:rPr>
      </w:pPr>
    </w:p>
    <w:p w:rsidR="009C65DF" w:rsidRPr="00AE0ED7" w:rsidRDefault="009C65DF" w:rsidP="009C65DF">
      <w:pPr>
        <w:pStyle w:val="Heading1"/>
      </w:pPr>
      <w:bookmarkStart w:id="271" w:name="_Toc414034024"/>
      <w:bookmarkStart w:id="272" w:name="_Toc414034035"/>
      <w:bookmarkStart w:id="273" w:name="_Toc414043597"/>
      <w:bookmarkStart w:id="274" w:name="_Toc414351360"/>
      <w:bookmarkStart w:id="275" w:name="_Toc1144491"/>
      <w:r w:rsidRPr="00AE0ED7">
        <w:t>References</w:t>
      </w:r>
      <w:bookmarkEnd w:id="271"/>
      <w:bookmarkEnd w:id="272"/>
      <w:bookmarkEnd w:id="273"/>
      <w:bookmarkEnd w:id="274"/>
      <w:bookmarkEnd w:id="275"/>
    </w:p>
    <w:p w:rsidR="009C65DF" w:rsidRPr="0068080D" w:rsidRDefault="009C65DF" w:rsidP="009C65DF">
      <w:pPr>
        <w:pStyle w:val="References"/>
        <w:numPr>
          <w:ilvl w:val="0"/>
          <w:numId w:val="33"/>
        </w:numPr>
        <w:rPr>
          <w:rFonts w:eastAsia="PMingLiU"/>
          <w:lang w:eastAsia="zh-TW"/>
        </w:rPr>
      </w:pPr>
      <w:bookmarkStart w:id="276" w:name="_Ref1132421"/>
      <w:r>
        <w:rPr>
          <w:rFonts w:hint="eastAsia"/>
          <w:lang w:eastAsia="ja-JP"/>
        </w:rPr>
        <w:t>R1-191286</w:t>
      </w:r>
      <w:r w:rsidRPr="00294C0D">
        <w:rPr>
          <w:rFonts w:hint="eastAsia"/>
          <w:lang w:eastAsia="ja-JP"/>
        </w:rPr>
        <w:tab/>
      </w:r>
      <w:r>
        <w:rPr>
          <w:lang w:eastAsia="ja-JP"/>
        </w:rPr>
        <w:t>CSI enhancement for MU-MIMO, MediaTek, RAN1 AH 201901.</w:t>
      </w:r>
      <w:bookmarkEnd w:id="276"/>
    </w:p>
    <w:p w:rsidR="009C65DF" w:rsidRPr="00B44A0F" w:rsidRDefault="009C65DF" w:rsidP="003F7E11">
      <w:pPr>
        <w:tabs>
          <w:tab w:val="center" w:pos="4800"/>
          <w:tab w:val="right" w:pos="9500"/>
        </w:tabs>
        <w:jc w:val="both"/>
        <w:rPr>
          <w:noProof/>
          <w:lang w:val="en-US"/>
        </w:rPr>
      </w:pPr>
    </w:p>
    <w:bookmarkEnd w:id="0"/>
    <w:bookmarkEnd w:id="1"/>
    <w:p w:rsidR="00445DDE" w:rsidRPr="00E13523" w:rsidRDefault="00445DDE" w:rsidP="003F7E11">
      <w:pPr>
        <w:tabs>
          <w:tab w:val="center" w:pos="4800"/>
          <w:tab w:val="right" w:pos="9500"/>
        </w:tabs>
        <w:jc w:val="both"/>
        <w:rPr>
          <w:noProof/>
        </w:rPr>
      </w:pPr>
    </w:p>
    <w:sectPr w:rsidR="00445DDE" w:rsidRPr="00E13523" w:rsidSect="00D0151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1E1" w:rsidRDefault="002B51E1" w:rsidP="00EA7ECC">
      <w:pPr>
        <w:spacing w:after="0"/>
      </w:pPr>
      <w:r>
        <w:separator/>
      </w:r>
    </w:p>
  </w:endnote>
  <w:endnote w:type="continuationSeparator" w:id="0">
    <w:p w:rsidR="002B51E1" w:rsidRDefault="002B51E1"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F9C" w:rsidRDefault="008B6F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F9C" w:rsidRDefault="008B6F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F9C" w:rsidRDefault="008B6F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1E1" w:rsidRDefault="002B51E1" w:rsidP="00EA7ECC">
      <w:pPr>
        <w:spacing w:after="0"/>
      </w:pPr>
      <w:r>
        <w:separator/>
      </w:r>
    </w:p>
  </w:footnote>
  <w:footnote w:type="continuationSeparator" w:id="0">
    <w:p w:rsidR="002B51E1" w:rsidRDefault="002B51E1"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F9C" w:rsidRDefault="008B6F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F9C" w:rsidRDefault="008B6F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F9C" w:rsidRDefault="008B6F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23"/>
  </w:num>
  <w:num w:numId="4">
    <w:abstractNumId w:val="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5"/>
  </w:num>
  <w:num w:numId="13">
    <w:abstractNumId w:val="19"/>
  </w:num>
  <w:num w:numId="14">
    <w:abstractNumId w:val="22"/>
  </w:num>
  <w:num w:numId="15">
    <w:abstractNumId w:val="27"/>
  </w:num>
  <w:num w:numId="16">
    <w:abstractNumId w:val="26"/>
  </w:num>
  <w:num w:numId="17">
    <w:abstractNumId w:val="21"/>
  </w:num>
  <w:num w:numId="18">
    <w:abstractNumId w:val="24"/>
  </w:num>
  <w:num w:numId="19">
    <w:abstractNumId w:val="15"/>
  </w:num>
  <w:num w:numId="20">
    <w:abstractNumId w:val="29"/>
  </w:num>
  <w:num w:numId="21">
    <w:abstractNumId w:val="1"/>
  </w:num>
  <w:num w:numId="22">
    <w:abstractNumId w:val="6"/>
  </w:num>
  <w:num w:numId="23">
    <w:abstractNumId w:val="16"/>
  </w:num>
  <w:num w:numId="24">
    <w:abstractNumId w:val="13"/>
  </w:num>
  <w:num w:numId="25">
    <w:abstractNumId w:val="4"/>
  </w:num>
  <w:num w:numId="26">
    <w:abstractNumId w:val="20"/>
  </w:num>
  <w:num w:numId="27">
    <w:abstractNumId w:val="9"/>
  </w:num>
  <w:num w:numId="28">
    <w:abstractNumId w:val="7"/>
  </w:num>
  <w:num w:numId="29">
    <w:abstractNumId w:val="2"/>
  </w:num>
  <w:num w:numId="30">
    <w:abstractNumId w:val="28"/>
  </w:num>
  <w:num w:numId="31">
    <w:abstractNumId w:val="14"/>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15B52"/>
    <w:rsid w:val="000314FD"/>
    <w:rsid w:val="000402CD"/>
    <w:rsid w:val="00061C44"/>
    <w:rsid w:val="000C165F"/>
    <w:rsid w:val="000E35C5"/>
    <w:rsid w:val="000F0470"/>
    <w:rsid w:val="00132A12"/>
    <w:rsid w:val="00161869"/>
    <w:rsid w:val="001938D9"/>
    <w:rsid w:val="001A6596"/>
    <w:rsid w:val="001D0D11"/>
    <w:rsid w:val="0020497F"/>
    <w:rsid w:val="002651FC"/>
    <w:rsid w:val="00277CC4"/>
    <w:rsid w:val="0029713B"/>
    <w:rsid w:val="002B51E1"/>
    <w:rsid w:val="002C5D68"/>
    <w:rsid w:val="002D1FB0"/>
    <w:rsid w:val="002D2C23"/>
    <w:rsid w:val="002E5B3E"/>
    <w:rsid w:val="002F3F7F"/>
    <w:rsid w:val="0030039C"/>
    <w:rsid w:val="003550DF"/>
    <w:rsid w:val="00360BD3"/>
    <w:rsid w:val="00394EB5"/>
    <w:rsid w:val="003A5F15"/>
    <w:rsid w:val="003B6C51"/>
    <w:rsid w:val="003E4A3D"/>
    <w:rsid w:val="003E6166"/>
    <w:rsid w:val="003F7E11"/>
    <w:rsid w:val="00403B00"/>
    <w:rsid w:val="004052DB"/>
    <w:rsid w:val="00425A12"/>
    <w:rsid w:val="004421DD"/>
    <w:rsid w:val="00445DDE"/>
    <w:rsid w:val="00471D4B"/>
    <w:rsid w:val="004A59E9"/>
    <w:rsid w:val="004B42A1"/>
    <w:rsid w:val="004B501C"/>
    <w:rsid w:val="004B612E"/>
    <w:rsid w:val="004C365C"/>
    <w:rsid w:val="004D75FF"/>
    <w:rsid w:val="004F11FB"/>
    <w:rsid w:val="005037BF"/>
    <w:rsid w:val="00516A28"/>
    <w:rsid w:val="005420B3"/>
    <w:rsid w:val="00553194"/>
    <w:rsid w:val="005649A0"/>
    <w:rsid w:val="005A6097"/>
    <w:rsid w:val="00656C18"/>
    <w:rsid w:val="00657F00"/>
    <w:rsid w:val="006C1F55"/>
    <w:rsid w:val="006C7305"/>
    <w:rsid w:val="006E0F46"/>
    <w:rsid w:val="00732790"/>
    <w:rsid w:val="007360CB"/>
    <w:rsid w:val="007718EB"/>
    <w:rsid w:val="007A733A"/>
    <w:rsid w:val="007D58F2"/>
    <w:rsid w:val="007F73FE"/>
    <w:rsid w:val="007F7673"/>
    <w:rsid w:val="00824A65"/>
    <w:rsid w:val="00855258"/>
    <w:rsid w:val="008B6F9C"/>
    <w:rsid w:val="008C494F"/>
    <w:rsid w:val="008E1E4D"/>
    <w:rsid w:val="00922F69"/>
    <w:rsid w:val="0097785A"/>
    <w:rsid w:val="0098143A"/>
    <w:rsid w:val="00983EC0"/>
    <w:rsid w:val="00995F81"/>
    <w:rsid w:val="009A317B"/>
    <w:rsid w:val="009C0D63"/>
    <w:rsid w:val="009C65DF"/>
    <w:rsid w:val="009D591A"/>
    <w:rsid w:val="009E21EB"/>
    <w:rsid w:val="009E2DD9"/>
    <w:rsid w:val="009F1845"/>
    <w:rsid w:val="009F38D8"/>
    <w:rsid w:val="00A82C11"/>
    <w:rsid w:val="00AD601D"/>
    <w:rsid w:val="00AF7D62"/>
    <w:rsid w:val="00B05F52"/>
    <w:rsid w:val="00B12384"/>
    <w:rsid w:val="00B3048B"/>
    <w:rsid w:val="00B3078E"/>
    <w:rsid w:val="00B3786D"/>
    <w:rsid w:val="00B40FCC"/>
    <w:rsid w:val="00B41A31"/>
    <w:rsid w:val="00B44A0F"/>
    <w:rsid w:val="00B53FA4"/>
    <w:rsid w:val="00BA2E60"/>
    <w:rsid w:val="00BC48C0"/>
    <w:rsid w:val="00BE009D"/>
    <w:rsid w:val="00BE1C6A"/>
    <w:rsid w:val="00C203D4"/>
    <w:rsid w:val="00C3553C"/>
    <w:rsid w:val="00C37FEE"/>
    <w:rsid w:val="00C5178A"/>
    <w:rsid w:val="00C74A9F"/>
    <w:rsid w:val="00C86401"/>
    <w:rsid w:val="00CA3108"/>
    <w:rsid w:val="00CA397B"/>
    <w:rsid w:val="00CB393E"/>
    <w:rsid w:val="00CB3B65"/>
    <w:rsid w:val="00CD1DCE"/>
    <w:rsid w:val="00CD3528"/>
    <w:rsid w:val="00D01516"/>
    <w:rsid w:val="00D021BB"/>
    <w:rsid w:val="00D05E3C"/>
    <w:rsid w:val="00D675D8"/>
    <w:rsid w:val="00D756E8"/>
    <w:rsid w:val="00D920B4"/>
    <w:rsid w:val="00DC4E20"/>
    <w:rsid w:val="00DC6811"/>
    <w:rsid w:val="00E10B96"/>
    <w:rsid w:val="00E1377C"/>
    <w:rsid w:val="00E730FD"/>
    <w:rsid w:val="00EA082A"/>
    <w:rsid w:val="00EA7ECC"/>
    <w:rsid w:val="00ED0ED0"/>
    <w:rsid w:val="00EE2B7B"/>
    <w:rsid w:val="00F30D7A"/>
    <w:rsid w:val="00F358C6"/>
    <w:rsid w:val="00F57D78"/>
    <w:rsid w:val="00F61CBA"/>
    <w:rsid w:val="00F95A44"/>
    <w:rsid w:val="00FA18A2"/>
    <w:rsid w:val="00FC21AA"/>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paragraph" w:customStyle="1" w:styleId="References">
    <w:name w:val="References"/>
    <w:basedOn w:val="Normal"/>
    <w:next w:val="Normal"/>
    <w:rsid w:val="009C65DF"/>
    <w:pPr>
      <w:numPr>
        <w:numId w:val="32"/>
      </w:numPr>
      <w:autoSpaceDE w:val="0"/>
      <w:autoSpaceDN w:val="0"/>
      <w:snapToGrid w:val="0"/>
      <w:spacing w:after="60"/>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31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6.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5.png"/><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4.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0F1B2-5EC7-4A98-B430-78E562A6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2019-02-16T01:37:00Z</dcterms:created>
  <dcterms:modified xsi:type="dcterms:W3CDTF">2019-02-16T03:25:00Z</dcterms:modified>
</cp:coreProperties>
</file>